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A1" w:rsidRDefault="009F4F46">
      <w:r>
        <w:rPr>
          <w:rFonts w:ascii="黑体" w:eastAsia="黑体" w:hAnsi="黑体"/>
          <w:sz w:val="32"/>
          <w:szCs w:val="32"/>
        </w:rPr>
        <w:t>铵盐和硝酸盐稳定同位素丰度测定方法及其应用案例</w:t>
      </w:r>
    </w:p>
    <w:p w:rsidR="002300A1" w:rsidRDefault="002300A1">
      <w:pPr>
        <w:rPr>
          <w:rFonts w:ascii="黑体" w:eastAsia="黑体" w:hAnsi="黑体"/>
          <w:color w:val="FF0000"/>
          <w:szCs w:val="21"/>
        </w:rPr>
      </w:pPr>
    </w:p>
    <w:p w:rsidR="002300A1" w:rsidRDefault="009F4F46">
      <w:r>
        <w:rPr>
          <w:rFonts w:ascii="黑体" w:eastAsia="黑体" w:hAnsi="黑体"/>
          <w:sz w:val="24"/>
          <w:szCs w:val="21"/>
          <w:u w:val="single"/>
        </w:rPr>
        <w:t>刘冬伟</w:t>
      </w:r>
      <w:r>
        <w:rPr>
          <w:rFonts w:ascii="黑体" w:eastAsia="黑体" w:hAnsi="黑体"/>
          <w:sz w:val="24"/>
          <w:szCs w:val="21"/>
          <w:vertAlign w:val="superscript"/>
        </w:rPr>
        <w:t>１</w:t>
      </w:r>
      <w:r>
        <w:rPr>
          <w:rFonts w:ascii="黑体" w:eastAsia="黑体" w:hAnsi="黑体"/>
          <w:sz w:val="24"/>
          <w:szCs w:val="21"/>
        </w:rPr>
        <w:t>，图影</w:t>
      </w:r>
      <w:r>
        <w:rPr>
          <w:rFonts w:ascii="黑体" w:eastAsia="黑体" w:hAnsi="黑体"/>
          <w:sz w:val="24"/>
          <w:szCs w:val="21"/>
          <w:vertAlign w:val="superscript"/>
        </w:rPr>
        <w:t>1,2</w:t>
      </w:r>
      <w:r>
        <w:rPr>
          <w:rFonts w:ascii="黑体" w:eastAsia="黑体" w:hAnsi="黑体"/>
          <w:sz w:val="24"/>
          <w:szCs w:val="21"/>
        </w:rPr>
        <w:t>，方运霆</w:t>
      </w:r>
      <w:r>
        <w:rPr>
          <w:rFonts w:ascii="黑体" w:eastAsia="黑体" w:hAnsi="黑体"/>
          <w:sz w:val="24"/>
          <w:szCs w:val="21"/>
          <w:vertAlign w:val="superscript"/>
        </w:rPr>
        <w:t>1,3</w:t>
      </w:r>
      <w:r w:rsidR="00671867">
        <w:rPr>
          <w:rFonts w:ascii="黑体" w:eastAsia="黑体" w:hAnsi="黑体" w:hint="eastAsia"/>
          <w:sz w:val="24"/>
          <w:szCs w:val="21"/>
          <w:vertAlign w:val="superscript"/>
        </w:rPr>
        <w:t>，</w:t>
      </w:r>
      <w:r>
        <w:rPr>
          <w:rFonts w:ascii="黑体" w:eastAsia="黑体" w:hAnsi="黑体"/>
          <w:sz w:val="24"/>
          <w:szCs w:val="21"/>
          <w:vertAlign w:val="superscript"/>
        </w:rPr>
        <w:t>*</w:t>
      </w:r>
    </w:p>
    <w:p w:rsidR="002300A1" w:rsidRDefault="009F4F46">
      <w:pPr>
        <w:rPr>
          <w:rFonts w:ascii="宋体" w:hAnsi="宋体"/>
          <w:sz w:val="20"/>
          <w:szCs w:val="21"/>
        </w:rPr>
      </w:pPr>
      <w:r>
        <w:rPr>
          <w:rFonts w:ascii="宋体" w:hAnsi="宋体"/>
          <w:sz w:val="20"/>
          <w:szCs w:val="21"/>
        </w:rPr>
        <w:t>1中国科学院沈阳应用生态研究所森林生态与管理重点实验室，沈阳，110016</w:t>
      </w:r>
    </w:p>
    <w:p w:rsidR="002300A1" w:rsidRDefault="009F4F46">
      <w:pPr>
        <w:rPr>
          <w:rFonts w:ascii="宋体" w:hAnsi="宋体"/>
          <w:sz w:val="20"/>
          <w:szCs w:val="21"/>
        </w:rPr>
      </w:pPr>
      <w:r>
        <w:rPr>
          <w:rFonts w:ascii="宋体" w:hAnsi="宋体"/>
          <w:sz w:val="20"/>
          <w:szCs w:val="21"/>
        </w:rPr>
        <w:t>2中国科学院大学，北京，100049</w:t>
      </w:r>
    </w:p>
    <w:p w:rsidR="002300A1" w:rsidRDefault="009F4F46">
      <w:pPr>
        <w:rPr>
          <w:rFonts w:ascii="宋体" w:hAnsi="宋体"/>
          <w:sz w:val="20"/>
          <w:szCs w:val="21"/>
        </w:rPr>
      </w:pPr>
      <w:r>
        <w:rPr>
          <w:rFonts w:ascii="宋体" w:hAnsi="宋体"/>
          <w:sz w:val="20"/>
          <w:szCs w:val="21"/>
        </w:rPr>
        <w:t>3中国科学院清原森林生态系统观测研究站，沈阳，110016</w:t>
      </w:r>
    </w:p>
    <w:p w:rsidR="002300A1" w:rsidRDefault="009F4F46">
      <w:pPr>
        <w:rPr>
          <w:rFonts w:ascii="宋体" w:hAnsi="宋体"/>
          <w:sz w:val="20"/>
          <w:szCs w:val="21"/>
        </w:rPr>
      </w:pPr>
      <w:r>
        <w:rPr>
          <w:rFonts w:ascii="宋体" w:hAnsi="宋体"/>
          <w:sz w:val="20"/>
          <w:szCs w:val="21"/>
        </w:rPr>
        <w:t>*通讯作者：方运霆，研究员，fangyt@iae.ac.cn</w:t>
      </w:r>
    </w:p>
    <w:p w:rsidR="002300A1" w:rsidRDefault="009F4F46">
      <w:pPr>
        <w:rPr>
          <w:rFonts w:ascii="黑体" w:eastAsia="黑体" w:hAnsi="黑体"/>
          <w:color w:val="FF0000"/>
          <w:sz w:val="20"/>
          <w:szCs w:val="21"/>
        </w:rPr>
      </w:pPr>
      <w:r>
        <w:rPr>
          <w:rFonts w:ascii="黑体" w:eastAsia="黑体" w:hAnsi="黑体"/>
          <w:color w:val="FF0000"/>
          <w:sz w:val="20"/>
          <w:szCs w:val="21"/>
        </w:rPr>
        <w:t>（注：参会报告人请在名字上添加下划线）</w:t>
      </w:r>
    </w:p>
    <w:p w:rsidR="002300A1" w:rsidRDefault="002300A1">
      <w:pPr>
        <w:rPr>
          <w:rFonts w:ascii="黑体" w:eastAsia="黑体" w:hAnsi="黑体"/>
          <w:color w:val="FF0000"/>
          <w:szCs w:val="21"/>
        </w:rPr>
      </w:pPr>
    </w:p>
    <w:p w:rsidR="002300A1" w:rsidRDefault="009F4F46">
      <w:pPr>
        <w:widowControl/>
        <w:spacing w:line="300" w:lineRule="atLeast"/>
        <w:ind w:right="420"/>
      </w:pPr>
      <w:r>
        <w:rPr>
          <w:rFonts w:ascii="黑体" w:eastAsia="黑体" w:hAnsi="黑体"/>
          <w:szCs w:val="21"/>
        </w:rPr>
        <w:t>摘  要</w:t>
      </w:r>
      <w:r>
        <w:rPr>
          <w:rFonts w:ascii="宋体" w:hAnsi="宋体"/>
          <w:b/>
          <w:szCs w:val="21"/>
        </w:rPr>
        <w:t xml:space="preserve"> </w:t>
      </w:r>
      <w:r>
        <w:rPr>
          <w:rFonts w:ascii="仿宋_GB2312" w:eastAsia="仿宋_GB2312" w:hAnsi="仿宋_GB2312"/>
          <w:b/>
          <w:szCs w:val="21"/>
        </w:rPr>
        <w:t xml:space="preserve"> </w:t>
      </w:r>
      <w:r>
        <w:rPr>
          <w:rFonts w:eastAsia="仿宋_GB2312"/>
          <w:szCs w:val="21"/>
        </w:rPr>
        <w:t>综述了过去几十年来铵盐和硝酸盐稳定同位素丰度测定方法的历史发展变化，分析了各种方法的优缺点，并对新方法作了介绍和推荐</w:t>
      </w:r>
      <w:r>
        <w:rPr>
          <w:rFonts w:eastAsia="仿宋_GB2312"/>
          <w:szCs w:val="21"/>
        </w:rPr>
        <w:t>.</w:t>
      </w:r>
      <w:r>
        <w:rPr>
          <w:rFonts w:eastAsia="仿宋_GB2312"/>
          <w:szCs w:val="21"/>
        </w:rPr>
        <w:t>目前铵盐稳定同位素丰度的最新测定方法为次溴酸盐氧化结合羟胺还原法，硝酸盐氮氧同位素丰度主流的测定方法为反硝化细菌法和镉粉叠氮酸还原化学法</w:t>
      </w:r>
      <w:r>
        <w:rPr>
          <w:rFonts w:eastAsia="仿宋_GB2312"/>
          <w:szCs w:val="21"/>
        </w:rPr>
        <w:t>.</w:t>
      </w:r>
      <w:r>
        <w:rPr>
          <w:rFonts w:eastAsia="仿宋_GB2312"/>
          <w:szCs w:val="21"/>
        </w:rPr>
        <w:t>这些方法的主要共同特点是以</w:t>
      </w:r>
      <w:r>
        <w:rPr>
          <w:rFonts w:eastAsia="仿宋_GB2312"/>
          <w:szCs w:val="21"/>
        </w:rPr>
        <w:t>N</w:t>
      </w:r>
      <w:r>
        <w:rPr>
          <w:rFonts w:eastAsia="仿宋_GB2312"/>
          <w:szCs w:val="21"/>
          <w:vertAlign w:val="subscript"/>
        </w:rPr>
        <w:t>2</w:t>
      </w:r>
      <w:r>
        <w:rPr>
          <w:rFonts w:eastAsia="仿宋_GB2312"/>
          <w:szCs w:val="21"/>
        </w:rPr>
        <w:t>O</w:t>
      </w:r>
      <w:r>
        <w:rPr>
          <w:rFonts w:eastAsia="仿宋_GB2312"/>
          <w:szCs w:val="21"/>
        </w:rPr>
        <w:t>为分析物，分析精度高，对样品的含氮量需求小，一般只需要</w:t>
      </w:r>
      <w:r>
        <w:rPr>
          <w:rFonts w:eastAsia="仿宋_GB2312"/>
          <w:szCs w:val="21"/>
        </w:rPr>
        <w:t>10</w:t>
      </w:r>
      <w:r>
        <w:rPr>
          <w:rFonts w:eastAsia="仿宋_GB2312"/>
          <w:szCs w:val="21"/>
        </w:rPr>
        <w:t>～</w:t>
      </w:r>
      <w:r>
        <w:rPr>
          <w:rFonts w:eastAsia="仿宋_GB2312"/>
          <w:szCs w:val="21"/>
        </w:rPr>
        <w:t xml:space="preserve">60 </w:t>
      </w:r>
      <w:proofErr w:type="spellStart"/>
      <w:r>
        <w:rPr>
          <w:rFonts w:eastAsia="仿宋_GB2312"/>
          <w:szCs w:val="21"/>
        </w:rPr>
        <w:t>nmol</w:t>
      </w:r>
      <w:proofErr w:type="spellEnd"/>
      <w:r>
        <w:rPr>
          <w:rFonts w:eastAsia="仿宋_GB2312"/>
          <w:szCs w:val="21"/>
        </w:rPr>
        <w:t xml:space="preserve"> N</w:t>
      </w:r>
      <w:r>
        <w:rPr>
          <w:rFonts w:eastAsia="仿宋_GB2312"/>
          <w:szCs w:val="21"/>
        </w:rPr>
        <w:t>，适用于低浓度样品</w:t>
      </w:r>
      <w:r>
        <w:rPr>
          <w:rFonts w:eastAsia="仿宋_GB2312"/>
          <w:szCs w:val="21"/>
        </w:rPr>
        <w:t>.</w:t>
      </w:r>
      <w:r>
        <w:rPr>
          <w:rFonts w:eastAsia="仿宋_GB2312"/>
          <w:szCs w:val="21"/>
        </w:rPr>
        <w:t>新方法的建立对于国内外开展氮素循环研究</w:t>
      </w:r>
      <w:r w:rsidR="00B95F92">
        <w:rPr>
          <w:rFonts w:asciiTheme="minorEastAsia" w:eastAsiaTheme="minorEastAsia" w:hAnsiTheme="minorEastAsia" w:hint="eastAsia"/>
          <w:szCs w:val="21"/>
        </w:rPr>
        <w:t>将</w:t>
      </w:r>
      <w:r>
        <w:rPr>
          <w:rFonts w:eastAsia="仿宋_GB2312"/>
          <w:szCs w:val="21"/>
        </w:rPr>
        <w:t>起到极大的推动作用</w:t>
      </w:r>
      <w:r>
        <w:rPr>
          <w:rFonts w:eastAsia="仿宋_GB2312"/>
          <w:szCs w:val="21"/>
        </w:rPr>
        <w:t>.</w:t>
      </w:r>
    </w:p>
    <w:p w:rsidR="002300A1" w:rsidRDefault="002300A1">
      <w:pPr>
        <w:pStyle w:val="04"/>
        <w:snapToGrid w:val="0"/>
        <w:ind w:right="420"/>
        <w:rPr>
          <w:rFonts w:ascii="宋体" w:eastAsia="宋体" w:hAnsi="宋体"/>
          <w:b/>
          <w:sz w:val="21"/>
          <w:szCs w:val="21"/>
        </w:rPr>
      </w:pPr>
    </w:p>
    <w:p w:rsidR="002300A1" w:rsidRDefault="009F4F46">
      <w:pPr>
        <w:pStyle w:val="04"/>
        <w:snapToGrid w:val="0"/>
        <w:ind w:right="420"/>
      </w:pPr>
      <w:r>
        <w:rPr>
          <w:rFonts w:ascii="宋体" w:eastAsia="宋体" w:hAnsi="宋体"/>
          <w:b/>
          <w:sz w:val="21"/>
          <w:szCs w:val="21"/>
        </w:rPr>
        <w:t xml:space="preserve">关键词 </w:t>
      </w:r>
      <w:r>
        <w:rPr>
          <w:rFonts w:ascii="宋体" w:eastAsia="宋体" w:hAnsi="宋体"/>
          <w:sz w:val="21"/>
          <w:szCs w:val="21"/>
        </w:rPr>
        <w:t>铵盐；硝酸盐；同位素组成；同位素分馏</w:t>
      </w:r>
      <w:bookmarkStart w:id="0" w:name="_GoBack"/>
      <w:bookmarkEnd w:id="0"/>
    </w:p>
    <w:p w:rsidR="002300A1" w:rsidRDefault="002300A1"/>
    <w:p w:rsidR="002300A1" w:rsidRDefault="009F4F46">
      <w:pPr>
        <w:rPr>
          <w:rFonts w:ascii="黑体" w:eastAsia="黑体" w:hAnsi="黑体"/>
          <w:color w:val="FF0000"/>
          <w:sz w:val="20"/>
          <w:szCs w:val="21"/>
        </w:rPr>
      </w:pPr>
      <w:r>
        <w:rPr>
          <w:rFonts w:ascii="黑体" w:eastAsia="黑体" w:hAnsi="黑体"/>
          <w:color w:val="FF0000"/>
          <w:sz w:val="20"/>
          <w:szCs w:val="21"/>
        </w:rPr>
        <w:t>（注：请不要超过一页）</w:t>
      </w:r>
    </w:p>
    <w:p w:rsidR="002300A1" w:rsidRDefault="002300A1"/>
    <w:sectPr w:rsidR="002300A1">
      <w:pgSz w:w="11906" w:h="16838"/>
      <w:pgMar w:top="1440" w:right="1800" w:bottom="1440" w:left="1800" w:header="720" w:footer="720" w:gutter="0"/>
      <w:cols w:space="72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4B7" w:rsidRDefault="00A434B7">
      <w:r>
        <w:separator/>
      </w:r>
    </w:p>
  </w:endnote>
  <w:endnote w:type="continuationSeparator" w:id="0">
    <w:p w:rsidR="00A434B7" w:rsidRDefault="00A4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MS Gothic"/>
    <w:charset w:val="00"/>
    <w:family w:val="modern"/>
    <w:pitch w:val="fixed"/>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4B7" w:rsidRDefault="00A434B7">
      <w:r>
        <w:rPr>
          <w:color w:val="000000"/>
        </w:rPr>
        <w:separator/>
      </w:r>
    </w:p>
  </w:footnote>
  <w:footnote w:type="continuationSeparator" w:id="0">
    <w:p w:rsidR="00A434B7" w:rsidRDefault="00A43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4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300A1"/>
    <w:rsid w:val="002300A1"/>
    <w:rsid w:val="00671867"/>
    <w:rsid w:val="009F4F46"/>
    <w:rsid w:val="00A434B7"/>
    <w:rsid w:val="00AE48F7"/>
    <w:rsid w:val="00B95F92"/>
    <w:rsid w:val="00BC433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de-DE"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jc w:val="both"/>
    </w:pPr>
    <w:rPr>
      <w:kern w:val="3"/>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
    <w:name w:val="[04]摘要"/>
    <w:basedOn w:val="Normal"/>
    <w:autoRedefine/>
    <w:pPr>
      <w:spacing w:line="300" w:lineRule="auto"/>
      <w:ind w:left="1" w:right="397" w:hanging="1"/>
    </w:pPr>
    <w:rPr>
      <w:rFonts w:ascii="黑体" w:eastAsia="黑体" w:hAnsi="黑体"/>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de-DE"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jc w:val="both"/>
    </w:pPr>
    <w:rPr>
      <w:kern w:val="3"/>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
    <w:name w:val="[04]摘要"/>
    <w:basedOn w:val="Normal"/>
    <w:autoRedefine/>
    <w:pPr>
      <w:spacing w:line="300" w:lineRule="auto"/>
      <w:ind w:left="1" w:right="397" w:hanging="1"/>
    </w:pPr>
    <w:rPr>
      <w:rFonts w:ascii="黑体" w:eastAsia="黑体" w:hAnsi="黑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 Zhi</dc:creator>
  <cp:lastModifiedBy>Quan Zhi</cp:lastModifiedBy>
  <cp:revision>4</cp:revision>
  <dcterms:created xsi:type="dcterms:W3CDTF">2018-03-25T04:08:00Z</dcterms:created>
  <dcterms:modified xsi:type="dcterms:W3CDTF">2018-03-27T03:52:00Z</dcterms:modified>
</cp:coreProperties>
</file>