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B84" w:rsidRPr="00305558" w:rsidRDefault="00134B84" w:rsidP="00134B84">
      <w:pPr>
        <w:widowControl/>
        <w:jc w:val="left"/>
        <w:rPr>
          <w:rFonts w:ascii="黑体" w:eastAsia="黑体" w:hAnsi="黑体"/>
          <w:b/>
          <w:sz w:val="30"/>
          <w:szCs w:val="30"/>
        </w:rPr>
      </w:pPr>
      <w:r w:rsidRPr="00305558">
        <w:rPr>
          <w:rFonts w:ascii="黑体" w:eastAsia="黑体" w:hAnsi="黑体" w:hint="eastAsia"/>
          <w:b/>
          <w:sz w:val="30"/>
          <w:szCs w:val="30"/>
        </w:rPr>
        <w:t>附件</w:t>
      </w:r>
      <w:r w:rsidR="0001517D">
        <w:rPr>
          <w:rFonts w:ascii="黑体" w:eastAsia="黑体" w:hAnsi="黑体"/>
          <w:b/>
          <w:sz w:val="30"/>
          <w:szCs w:val="30"/>
        </w:rPr>
        <w:t>2</w:t>
      </w:r>
      <w:bookmarkStart w:id="0" w:name="_GoBack"/>
      <w:bookmarkEnd w:id="0"/>
    </w:p>
    <w:p w:rsidR="00134B84" w:rsidRPr="004E38D3" w:rsidRDefault="00134B84" w:rsidP="00134B84">
      <w:pPr>
        <w:widowControl/>
        <w:jc w:val="center"/>
        <w:rPr>
          <w:rFonts w:ascii="黑体" w:eastAsia="黑体" w:hAnsi="黑体"/>
          <w:b/>
          <w:sz w:val="36"/>
          <w:szCs w:val="36"/>
        </w:rPr>
      </w:pPr>
      <w:r w:rsidRPr="004E38D3">
        <w:rPr>
          <w:rFonts w:ascii="黑体" w:eastAsia="黑体" w:hAnsi="黑体" w:hint="eastAsia"/>
          <w:b/>
          <w:sz w:val="36"/>
          <w:szCs w:val="36"/>
        </w:rPr>
        <w:t>（空一行）</w:t>
      </w:r>
    </w:p>
    <w:p w:rsidR="00134B84" w:rsidRPr="004E38D3" w:rsidRDefault="00134B84" w:rsidP="00134B84">
      <w:pPr>
        <w:widowControl/>
        <w:jc w:val="center"/>
        <w:rPr>
          <w:rFonts w:ascii="黑体" w:eastAsia="黑体" w:cs="黑体"/>
          <w:kern w:val="0"/>
          <w:sz w:val="36"/>
          <w:szCs w:val="36"/>
        </w:rPr>
      </w:pPr>
      <w:r w:rsidRPr="004E38D3">
        <w:rPr>
          <w:rStyle w:val="a8"/>
          <w:rFonts w:ascii="黑体" w:eastAsia="黑体" w:hAnsi="黑体"/>
          <w:b/>
          <w:sz w:val="36"/>
          <w:szCs w:val="36"/>
        </w:rPr>
        <w:sym w:font="Symbol" w:char="F020"/>
      </w:r>
      <w:r w:rsidRPr="004E38D3">
        <w:rPr>
          <w:rFonts w:ascii="黑体" w:eastAsia="黑体" w:cs="黑体" w:hint="eastAsia"/>
          <w:kern w:val="0"/>
          <w:sz w:val="36"/>
          <w:szCs w:val="36"/>
        </w:rPr>
        <w:t>中国国家湿地公园：现状、挑战和对策</w:t>
      </w:r>
    </w:p>
    <w:p w:rsidR="00134B84" w:rsidRPr="006A4BAF" w:rsidRDefault="00134B84" w:rsidP="00134B84">
      <w:pPr>
        <w:widowControl/>
        <w:jc w:val="center"/>
        <w:rPr>
          <w:rFonts w:ascii="黑体" w:eastAsia="黑体" w:cs="黑体"/>
          <w:kern w:val="0"/>
          <w:sz w:val="36"/>
          <w:szCs w:val="36"/>
        </w:rPr>
      </w:pPr>
      <w:r w:rsidRPr="00F131CD">
        <w:rPr>
          <w:rFonts w:ascii="黑体" w:eastAsia="黑体" w:hAnsi="黑体" w:hint="eastAsia"/>
          <w:b/>
          <w:color w:val="C00000"/>
          <w:sz w:val="36"/>
          <w:szCs w:val="36"/>
        </w:rPr>
        <w:t>（黑体，18，加粗）</w:t>
      </w:r>
    </w:p>
    <w:p w:rsidR="00134B84" w:rsidRDefault="00134B84" w:rsidP="00134B84">
      <w:pPr>
        <w:pStyle w:val="EndNoteBibliography"/>
        <w:jc w:val="center"/>
        <w:outlineLvl w:val="1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刘晓春，冯长根，朱祖良，徐宜志，许正</w:t>
      </w:r>
      <w:r>
        <w:rPr>
          <w:rFonts w:ascii="仿宋" w:eastAsia="仿宋" w:hAnsi="仿宋" w:hint="eastAsia"/>
          <w:b/>
          <w:color w:val="C00000"/>
          <w:sz w:val="24"/>
          <w:szCs w:val="24"/>
        </w:rPr>
        <w:t>（仿宋，12，加粗）</w:t>
      </w:r>
    </w:p>
    <w:p w:rsidR="00134B84" w:rsidRDefault="00134B84" w:rsidP="00134B84">
      <w:pPr>
        <w:pStyle w:val="EndNoteBibliography"/>
        <w:jc w:val="center"/>
        <w:outlineLvl w:val="1"/>
        <w:rPr>
          <w:rFonts w:asciiTheme="minorEastAsia" w:eastAsiaTheme="minorEastAsia" w:hAnsiTheme="minorEastAsia" w:cs="AdobeHeitiStd-Regular"/>
          <w:color w:val="C00000"/>
          <w:kern w:val="0"/>
          <w:sz w:val="15"/>
          <w:szCs w:val="15"/>
        </w:rPr>
      </w:pPr>
      <w:r w:rsidRPr="001F3C3D">
        <w:rPr>
          <w:rFonts w:asciiTheme="minorEastAsia" w:eastAsiaTheme="minorEastAsia" w:hAnsiTheme="minorEastAsia" w:cs="TimesNewRomanPSMT"/>
          <w:kern w:val="0"/>
          <w:sz w:val="15"/>
          <w:szCs w:val="15"/>
        </w:rPr>
        <w:t>(</w:t>
      </w:r>
      <w:r w:rsidRPr="001F3C3D">
        <w:rPr>
          <w:rFonts w:asciiTheme="minorEastAsia" w:eastAsiaTheme="minorEastAsia" w:hAnsiTheme="minorEastAsia" w:cs="宋体" w:hint="eastAsia"/>
          <w:kern w:val="0"/>
          <w:sz w:val="15"/>
          <w:szCs w:val="15"/>
        </w:rPr>
        <w:t>国家林业局中南林业调查规划设计院，湖南长沙</w:t>
      </w:r>
      <w:r>
        <w:rPr>
          <w:rFonts w:asciiTheme="minorEastAsia" w:eastAsiaTheme="minorEastAsia" w:hAnsiTheme="minorEastAsia" w:cs="宋体" w:hint="eastAsia"/>
          <w:kern w:val="0"/>
          <w:sz w:val="15"/>
          <w:szCs w:val="15"/>
        </w:rPr>
        <w:t xml:space="preserve"> </w:t>
      </w:r>
      <w:r w:rsidRPr="001F3C3D">
        <w:rPr>
          <w:rFonts w:asciiTheme="minorEastAsia" w:eastAsiaTheme="minorEastAsia" w:hAnsiTheme="minorEastAsia" w:cs="TimesNewRomanPSMT"/>
          <w:kern w:val="0"/>
          <w:sz w:val="15"/>
          <w:szCs w:val="15"/>
        </w:rPr>
        <w:t>410014)</w:t>
      </w:r>
      <w:r>
        <w:rPr>
          <w:rFonts w:asciiTheme="minorEastAsia" w:eastAsiaTheme="minorEastAsia" w:hAnsiTheme="minorEastAsia" w:cs="AdobeHeitiStd-Regular" w:hint="eastAsia"/>
          <w:color w:val="C00000"/>
          <w:kern w:val="0"/>
          <w:sz w:val="15"/>
          <w:szCs w:val="15"/>
        </w:rPr>
        <w:t>（宋体，7.5）</w:t>
      </w:r>
    </w:p>
    <w:p w:rsidR="00134B84" w:rsidRPr="00842EF0" w:rsidRDefault="00134B84" w:rsidP="00134B84">
      <w:pPr>
        <w:autoSpaceDE w:val="0"/>
        <w:autoSpaceDN w:val="0"/>
        <w:adjustRightInd w:val="0"/>
        <w:jc w:val="left"/>
        <w:rPr>
          <w:rFonts w:asciiTheme="minorEastAsia" w:hAnsiTheme="minorEastAsia" w:cs="黑体"/>
          <w:b/>
          <w:color w:val="FF0000"/>
          <w:kern w:val="0"/>
          <w:sz w:val="18"/>
          <w:szCs w:val="18"/>
        </w:rPr>
      </w:pPr>
      <w:r w:rsidRPr="00842EF0">
        <w:rPr>
          <w:rFonts w:asciiTheme="minorEastAsia" w:hAnsiTheme="minorEastAsia" w:cs="黑体" w:hint="eastAsia"/>
          <w:b/>
          <w:color w:val="FF0000"/>
          <w:kern w:val="0"/>
          <w:sz w:val="18"/>
          <w:szCs w:val="18"/>
        </w:rPr>
        <w:t>(</w:t>
      </w:r>
      <w:r w:rsidRPr="00842EF0">
        <w:rPr>
          <w:rFonts w:asciiTheme="minorEastAsia" w:hAnsiTheme="minorEastAsia" w:cs="黑体" w:hint="eastAsia"/>
          <w:b/>
          <w:color w:val="FF0000"/>
          <w:kern w:val="0"/>
          <w:sz w:val="18"/>
          <w:szCs w:val="18"/>
        </w:rPr>
        <w:t>空一行）</w:t>
      </w:r>
    </w:p>
    <w:p w:rsidR="00134B84" w:rsidRDefault="00134B84" w:rsidP="00134B84"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 w:rsidRPr="00BC5CE0">
        <w:rPr>
          <w:rFonts w:ascii="黑体" w:eastAsia="黑体" w:cs="黑体" w:hint="eastAsia"/>
          <w:b/>
          <w:kern w:val="0"/>
          <w:sz w:val="18"/>
          <w:szCs w:val="18"/>
        </w:rPr>
        <w:t>摘要：</w:t>
      </w:r>
      <w:r>
        <w:rPr>
          <w:rFonts w:ascii="宋体" w:cs="宋体" w:hint="eastAsia"/>
          <w:kern w:val="0"/>
          <w:sz w:val="18"/>
          <w:szCs w:val="18"/>
        </w:rPr>
        <w:t>分析了中国国家湿地公园</w:t>
      </w:r>
      <w:r>
        <w:rPr>
          <w:rFonts w:ascii="TimesNewRomanPSMT" w:eastAsia="黑体" w:hAnsi="TimesNewRomanPSMT" w:cs="TimesNewRomanPSMT"/>
          <w:kern w:val="0"/>
          <w:sz w:val="18"/>
          <w:szCs w:val="18"/>
        </w:rPr>
        <w:t xml:space="preserve">10 a </w:t>
      </w:r>
      <w:r>
        <w:rPr>
          <w:rFonts w:ascii="宋体" w:cs="宋体" w:hint="eastAsia"/>
          <w:kern w:val="0"/>
          <w:sz w:val="18"/>
          <w:szCs w:val="18"/>
        </w:rPr>
        <w:t>发展现状和特点，梳理了存在的问题和面临的挑战，探讨了其未来的发展对策。结果表明，①国家湿地公园在中国发展迅速，并呈现“分布的广泛性和不平衡性、与湿地资源的不协调性、整体总面积较大和湿地率较高、类型以河流湿地、人工湿地和湖泊湿地为主”等特点；②国家湿地公园面临空间分布不均、资金缺乏、国家重保护和地方重利用的博弈、法律法规和技术标准不健全、发展建设程序不规范、科研薄弱和专业人才缺乏、监管体系和配套机制不完善等挑战；③从管理层、建设者和研究规划层角度，分别提出了相应的对策、措施。管理层应加强国家湿地公园发展的宏观统筹规划，并实施分区分类管理，正确处理数量与质量关系，以确保数量稳定提高、质量同步提升，进一步完善法律法规和技术标准，进一步完善包括资金筹集、公众参与和经营管理在内的配套发展机制。建设者应严格执行国家湿地公园建设程序，正确处理保护与利用关系，突出自身特色，加强人才队伍建设，开展日常监测工作，注重后期维护管理。研究规划层应加强基础科学研究和实用技术研究，加强成果的推广应用转化，加强科学规划队伍的培养和管理，为国家湿地公园的健康持续发展提供技术支撑。</w:t>
      </w:r>
      <w:r>
        <w:rPr>
          <w:rFonts w:asciiTheme="minorEastAsia" w:hAnsiTheme="minorEastAsia" w:cs="宋体" w:hint="eastAsia"/>
          <w:bCs/>
          <w:color w:val="C00000"/>
          <w:kern w:val="0"/>
          <w:sz w:val="18"/>
          <w:szCs w:val="18"/>
        </w:rPr>
        <w:t>（宋体，</w:t>
      </w:r>
      <w:r>
        <w:rPr>
          <w:rFonts w:asciiTheme="minorEastAsia" w:hAnsiTheme="minorEastAsia" w:cs="宋体" w:hint="eastAsia"/>
          <w:bCs/>
          <w:color w:val="C00000"/>
          <w:kern w:val="0"/>
          <w:sz w:val="18"/>
          <w:szCs w:val="18"/>
        </w:rPr>
        <w:t>9</w:t>
      </w:r>
      <w:r>
        <w:rPr>
          <w:rFonts w:asciiTheme="minorEastAsia" w:hAnsiTheme="minorEastAsia" w:cs="宋体" w:hint="eastAsia"/>
          <w:bCs/>
          <w:color w:val="C00000"/>
          <w:kern w:val="0"/>
          <w:sz w:val="18"/>
          <w:szCs w:val="18"/>
        </w:rPr>
        <w:t>）</w:t>
      </w:r>
    </w:p>
    <w:p w:rsidR="00134B84" w:rsidRDefault="00134B84" w:rsidP="00134B84">
      <w:pPr>
        <w:autoSpaceDE w:val="0"/>
        <w:autoSpaceDN w:val="0"/>
        <w:adjustRightInd w:val="0"/>
        <w:jc w:val="left"/>
        <w:rPr>
          <w:rFonts w:asciiTheme="minorEastAsia" w:hAnsiTheme="minorEastAsia" w:cs="宋体"/>
          <w:b/>
          <w:bCs/>
          <w:color w:val="C00000"/>
          <w:kern w:val="0"/>
          <w:sz w:val="18"/>
          <w:szCs w:val="18"/>
        </w:rPr>
      </w:pPr>
      <w:r>
        <w:rPr>
          <w:rFonts w:asciiTheme="minorEastAsia" w:hAnsiTheme="minorEastAsia" w:cs="宋体" w:hint="eastAsia"/>
          <w:b/>
          <w:bCs/>
          <w:color w:val="C00000"/>
          <w:kern w:val="0"/>
          <w:sz w:val="18"/>
          <w:szCs w:val="18"/>
        </w:rPr>
        <w:t>（空一行）</w:t>
      </w:r>
    </w:p>
    <w:p w:rsidR="00134B84" w:rsidRDefault="00134B84" w:rsidP="00134B84">
      <w:pPr>
        <w:autoSpaceDE w:val="0"/>
        <w:autoSpaceDN w:val="0"/>
        <w:adjustRightInd w:val="0"/>
        <w:jc w:val="left"/>
        <w:rPr>
          <w:rFonts w:asciiTheme="minorEastAsia" w:hAnsiTheme="minorEastAsia" w:cs="宋体"/>
          <w:b/>
          <w:kern w:val="0"/>
          <w:sz w:val="18"/>
          <w:szCs w:val="18"/>
        </w:rPr>
      </w:pPr>
      <w:r w:rsidRPr="00BC5CE0">
        <w:rPr>
          <w:rFonts w:ascii="黑体" w:eastAsia="黑体" w:cs="黑体" w:hint="eastAsia"/>
          <w:b/>
          <w:kern w:val="0"/>
          <w:sz w:val="18"/>
          <w:szCs w:val="18"/>
        </w:rPr>
        <w:t>关键词</w:t>
      </w:r>
      <w:r>
        <w:rPr>
          <w:rFonts w:ascii="黑体" w:eastAsia="黑体" w:cs="黑体" w:hint="eastAsia"/>
          <w:kern w:val="0"/>
          <w:sz w:val="18"/>
          <w:szCs w:val="18"/>
        </w:rPr>
        <w:t>：</w:t>
      </w:r>
      <w:r>
        <w:rPr>
          <w:rFonts w:ascii="宋体" w:cs="宋体" w:hint="eastAsia"/>
          <w:kern w:val="0"/>
          <w:sz w:val="18"/>
          <w:szCs w:val="18"/>
        </w:rPr>
        <w:t>国家湿地公园；现状；挑战；对策；中国</w:t>
      </w:r>
      <w:r>
        <w:rPr>
          <w:rFonts w:asciiTheme="minorEastAsia" w:hAnsiTheme="minorEastAsia" w:cs="宋体" w:hint="eastAsia"/>
          <w:bCs/>
          <w:color w:val="C00000"/>
          <w:kern w:val="0"/>
          <w:sz w:val="18"/>
          <w:szCs w:val="18"/>
        </w:rPr>
        <w:t>（关键词为</w:t>
      </w:r>
      <w:r>
        <w:rPr>
          <w:rFonts w:asciiTheme="minorEastAsia" w:hAnsiTheme="minorEastAsia" w:cs="宋体" w:hint="eastAsia"/>
          <w:bCs/>
          <w:color w:val="C00000"/>
          <w:kern w:val="0"/>
          <w:sz w:val="18"/>
          <w:szCs w:val="18"/>
        </w:rPr>
        <w:t>3-5</w:t>
      </w:r>
      <w:r>
        <w:rPr>
          <w:rFonts w:asciiTheme="minorEastAsia" w:hAnsiTheme="minorEastAsia" w:cs="宋体" w:hint="eastAsia"/>
          <w:bCs/>
          <w:color w:val="C00000"/>
          <w:kern w:val="0"/>
          <w:sz w:val="18"/>
          <w:szCs w:val="18"/>
        </w:rPr>
        <w:t>个，宋体，</w:t>
      </w:r>
      <w:r>
        <w:rPr>
          <w:rFonts w:asciiTheme="minorEastAsia" w:hAnsiTheme="minorEastAsia" w:cs="宋体" w:hint="eastAsia"/>
          <w:bCs/>
          <w:color w:val="C00000"/>
          <w:kern w:val="0"/>
          <w:sz w:val="18"/>
          <w:szCs w:val="18"/>
        </w:rPr>
        <w:t>9</w:t>
      </w:r>
      <w:r>
        <w:rPr>
          <w:rFonts w:asciiTheme="minorEastAsia" w:hAnsiTheme="minorEastAsia" w:cs="宋体" w:hint="eastAsia"/>
          <w:bCs/>
          <w:color w:val="C00000"/>
          <w:kern w:val="0"/>
          <w:sz w:val="18"/>
          <w:szCs w:val="18"/>
        </w:rPr>
        <w:t>）</w:t>
      </w:r>
    </w:p>
    <w:p w:rsidR="00134B84" w:rsidRDefault="00134B84" w:rsidP="00134B84">
      <w:pPr>
        <w:autoSpaceDE w:val="0"/>
        <w:autoSpaceDN w:val="0"/>
        <w:adjustRightInd w:val="0"/>
        <w:jc w:val="left"/>
        <w:rPr>
          <w:rFonts w:asciiTheme="minorEastAsia" w:hAnsiTheme="minorEastAsia" w:cs="宋体"/>
          <w:b/>
          <w:bCs/>
          <w:color w:val="C00000"/>
          <w:kern w:val="0"/>
          <w:sz w:val="18"/>
          <w:szCs w:val="18"/>
        </w:rPr>
      </w:pPr>
      <w:r>
        <w:rPr>
          <w:rFonts w:asciiTheme="minorEastAsia" w:hAnsiTheme="minorEastAsia" w:cs="宋体" w:hint="eastAsia"/>
          <w:b/>
          <w:bCs/>
          <w:color w:val="C00000"/>
          <w:kern w:val="0"/>
          <w:sz w:val="18"/>
          <w:szCs w:val="18"/>
        </w:rPr>
        <w:t>（空一行）</w:t>
      </w:r>
    </w:p>
    <w:p w:rsidR="00134B84" w:rsidRDefault="00134B84" w:rsidP="00134B84">
      <w:pPr>
        <w:autoSpaceDE w:val="0"/>
        <w:autoSpaceDN w:val="0"/>
        <w:adjustRightInd w:val="0"/>
        <w:jc w:val="center"/>
        <w:rPr>
          <w:rFonts w:eastAsia="E-HZ+ZGCDq5-5"/>
          <w:b/>
          <w:color w:val="C00000"/>
          <w:kern w:val="0"/>
          <w:sz w:val="24"/>
          <w:szCs w:val="24"/>
        </w:rPr>
      </w:pPr>
      <w:r w:rsidRPr="001F3C3D">
        <w:rPr>
          <w:rFonts w:ascii="TimesNewRomanPSMT" w:hAnsi="TimesNewRomanPSMT" w:cs="TimesNewRomanPSMT"/>
          <w:b/>
          <w:kern w:val="0"/>
          <w:sz w:val="24"/>
          <w:szCs w:val="24"/>
        </w:rPr>
        <w:t>Status Quo, Challenges and Strategies of NationalWetland Parks in China</w:t>
      </w:r>
      <w:r>
        <w:rPr>
          <w:rFonts w:eastAsia="E-HZ+ZGCDq5-5" w:hint="eastAsia"/>
          <w:b/>
          <w:color w:val="C00000"/>
          <w:kern w:val="0"/>
          <w:sz w:val="24"/>
          <w:szCs w:val="24"/>
        </w:rPr>
        <w:t>（</w:t>
      </w:r>
      <w:r>
        <w:rPr>
          <w:rFonts w:eastAsia="E-HZ+ZGCDq5-5" w:hint="eastAsia"/>
          <w:b/>
          <w:color w:val="C00000"/>
          <w:kern w:val="0"/>
          <w:sz w:val="24"/>
          <w:szCs w:val="24"/>
        </w:rPr>
        <w:t>Times New Roman with bold font,12</w:t>
      </w:r>
      <w:r>
        <w:rPr>
          <w:rFonts w:eastAsia="E-HZ+ZGCDq5-5" w:hint="eastAsia"/>
          <w:b/>
          <w:color w:val="C00000"/>
          <w:kern w:val="0"/>
          <w:sz w:val="24"/>
          <w:szCs w:val="24"/>
        </w:rPr>
        <w:t>）</w:t>
      </w:r>
    </w:p>
    <w:p w:rsidR="00134B84" w:rsidRPr="006A4BAF" w:rsidRDefault="00134B84" w:rsidP="00134B84">
      <w:pPr>
        <w:autoSpaceDE w:val="0"/>
        <w:autoSpaceDN w:val="0"/>
        <w:adjustRightInd w:val="0"/>
        <w:jc w:val="center"/>
        <w:rPr>
          <w:rFonts w:eastAsia="E-HZ+ZGCDq5-5"/>
          <w:b/>
          <w:kern w:val="0"/>
          <w:sz w:val="20"/>
          <w:szCs w:val="20"/>
        </w:rPr>
      </w:pPr>
      <w:r w:rsidRPr="00842EF0">
        <w:rPr>
          <w:rFonts w:eastAsia="E-HZ+ZGCDq5-5"/>
          <w:kern w:val="0"/>
          <w:sz w:val="20"/>
          <w:szCs w:val="20"/>
        </w:rPr>
        <w:t>WU Houjian, DAN Xinqiu, SHU Yong, LIU Shihao, HUANG Yan</w:t>
      </w:r>
      <w:r>
        <w:rPr>
          <w:color w:val="C00000"/>
          <w:kern w:val="0"/>
          <w:sz w:val="20"/>
          <w:szCs w:val="20"/>
        </w:rPr>
        <w:t>（</w:t>
      </w:r>
      <w:r>
        <w:rPr>
          <w:color w:val="C00000"/>
          <w:kern w:val="0"/>
          <w:sz w:val="20"/>
          <w:szCs w:val="20"/>
        </w:rPr>
        <w:t>Times New Roman ,10</w:t>
      </w:r>
      <w:r>
        <w:rPr>
          <w:color w:val="C00000"/>
          <w:kern w:val="0"/>
          <w:sz w:val="20"/>
          <w:szCs w:val="20"/>
        </w:rPr>
        <w:t>）</w:t>
      </w:r>
    </w:p>
    <w:p w:rsidR="00134B84" w:rsidRDefault="00134B84" w:rsidP="00134B84">
      <w:pPr>
        <w:autoSpaceDE w:val="0"/>
        <w:autoSpaceDN w:val="0"/>
        <w:adjustRightInd w:val="0"/>
        <w:jc w:val="center"/>
        <w:rPr>
          <w:rFonts w:eastAsia="B5+CAJSymbolA"/>
          <w:color w:val="C00000"/>
          <w:kern w:val="0"/>
          <w:sz w:val="15"/>
          <w:szCs w:val="15"/>
        </w:rPr>
      </w:pPr>
      <w:r w:rsidRPr="00842EF0">
        <w:rPr>
          <w:rFonts w:eastAsia="E-HZ+ZGCDq5-5"/>
          <w:kern w:val="0"/>
          <w:sz w:val="15"/>
          <w:szCs w:val="15"/>
        </w:rPr>
        <w:t>(Central South Forest Inventory and Planning Institute of State Forestry Administration, Changsha 410014, Hunan, P.R.China)</w:t>
      </w:r>
      <w:r w:rsidRPr="00842EF0">
        <w:rPr>
          <w:rFonts w:eastAsia="AdobeHeitiStd-Regular" w:hint="eastAsia"/>
          <w:kern w:val="0"/>
          <w:sz w:val="15"/>
          <w:szCs w:val="15"/>
        </w:rPr>
        <w:t xml:space="preserve"> </w:t>
      </w:r>
      <w:r>
        <w:rPr>
          <w:rFonts w:eastAsia="AdobeHeitiStd-Regular" w:hint="eastAsia"/>
          <w:color w:val="C00000"/>
          <w:kern w:val="0"/>
          <w:sz w:val="15"/>
          <w:szCs w:val="15"/>
        </w:rPr>
        <w:t>(Times News Roma,7.5</w:t>
      </w:r>
      <w:r>
        <w:rPr>
          <w:rFonts w:eastAsia="B5+CAJSymbolA" w:hint="eastAsia"/>
          <w:color w:val="C00000"/>
          <w:kern w:val="0"/>
          <w:sz w:val="15"/>
          <w:szCs w:val="15"/>
        </w:rPr>
        <w:t>)</w:t>
      </w:r>
    </w:p>
    <w:p w:rsidR="00134B84" w:rsidRPr="004E38D3" w:rsidRDefault="00134B84" w:rsidP="00134B84">
      <w:pPr>
        <w:autoSpaceDE w:val="0"/>
        <w:autoSpaceDN w:val="0"/>
        <w:adjustRightInd w:val="0"/>
        <w:jc w:val="left"/>
        <w:rPr>
          <w:rFonts w:eastAsia="B5+CAJSymbolA"/>
          <w:color w:val="C00000"/>
          <w:kern w:val="0"/>
          <w:sz w:val="15"/>
          <w:szCs w:val="15"/>
        </w:rPr>
      </w:pPr>
      <w:r w:rsidRPr="004E38D3">
        <w:rPr>
          <w:rFonts w:eastAsia="B5+CAJSymbolA"/>
          <w:color w:val="C00000"/>
          <w:kern w:val="0"/>
          <w:sz w:val="15"/>
          <w:szCs w:val="15"/>
        </w:rPr>
        <w:t>（空一行）</w:t>
      </w:r>
    </w:p>
    <w:p w:rsidR="00134B84" w:rsidRDefault="00134B84" w:rsidP="00134B84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Cs w:val="21"/>
        </w:rPr>
      </w:pPr>
      <w:r w:rsidRPr="001F3C3D">
        <w:rPr>
          <w:rFonts w:ascii="TimesNewRomanPSMT" w:hAnsi="TimesNewRomanPSMT" w:cs="TimesNewRomanPSMT"/>
          <w:b/>
          <w:kern w:val="0"/>
          <w:szCs w:val="21"/>
        </w:rPr>
        <w:t xml:space="preserve">Abstract: </w:t>
      </w:r>
      <w:r>
        <w:rPr>
          <w:rFonts w:ascii="TimesNewRomanPSMT" w:hAnsi="TimesNewRomanPSMT" w:cs="TimesNewRomanPSMT"/>
          <w:kern w:val="0"/>
          <w:szCs w:val="21"/>
        </w:rPr>
        <w:t>Analysing the current situation and characteristics of National Wetland Parks in China over 10 years,</w:t>
      </w:r>
      <w:r>
        <w:rPr>
          <w:rFonts w:ascii="TimesNewRomanPSMT" w:hAnsi="TimesNewRomanPSMT" w:cs="TimesNewRomanPSMT" w:hint="eastAsia"/>
          <w:kern w:val="0"/>
          <w:szCs w:val="21"/>
        </w:rPr>
        <w:t xml:space="preserve"> </w:t>
      </w:r>
      <w:r>
        <w:rPr>
          <w:rFonts w:ascii="TimesNewRomanPSMT" w:hAnsi="TimesNewRomanPSMT" w:cs="TimesNewRomanPSMT"/>
          <w:kern w:val="0"/>
          <w:szCs w:val="21"/>
        </w:rPr>
        <w:t>teasing out its problems and challenges, and discussing its future development strategies. The results showed</w:t>
      </w:r>
      <w:r>
        <w:rPr>
          <w:rFonts w:ascii="TimesNewRomanPSMT" w:hAnsi="TimesNewRomanPSMT" w:cs="TimesNewRomanPSMT" w:hint="eastAsia"/>
          <w:kern w:val="0"/>
          <w:szCs w:val="21"/>
        </w:rPr>
        <w:t xml:space="preserve"> </w:t>
      </w:r>
      <w:r>
        <w:rPr>
          <w:rFonts w:ascii="TimesNewRomanPSMT" w:hAnsi="TimesNewRomanPSMT" w:cs="TimesNewRomanPSMT"/>
          <w:kern w:val="0"/>
          <w:szCs w:val="21"/>
        </w:rPr>
        <w:t>that National Wetland Parks have developed rapidly in China, and presents following characteristics: broad</w:t>
      </w:r>
      <w:r>
        <w:rPr>
          <w:rFonts w:ascii="TimesNewRomanPSMT" w:hAnsi="TimesNewRomanPSMT" w:cs="TimesNewRomanPSMT" w:hint="eastAsia"/>
          <w:kern w:val="0"/>
          <w:szCs w:val="21"/>
        </w:rPr>
        <w:t xml:space="preserve"> </w:t>
      </w:r>
      <w:r>
        <w:rPr>
          <w:rFonts w:ascii="TimesNewRomanPSMT" w:hAnsi="TimesNewRomanPSMT" w:cs="TimesNewRomanPSMT"/>
          <w:kern w:val="0"/>
          <w:szCs w:val="21"/>
        </w:rPr>
        <w:t>distribution and imbalance, incompatibility of wetland resources distribution, lager overall area and high rate</w:t>
      </w:r>
      <w:r>
        <w:rPr>
          <w:rFonts w:ascii="TimesNewRomanPSMT" w:hAnsi="TimesNewRomanPSMT" w:cs="TimesNewRomanPSMT" w:hint="eastAsia"/>
          <w:kern w:val="0"/>
          <w:szCs w:val="21"/>
        </w:rPr>
        <w:t xml:space="preserve"> </w:t>
      </w:r>
      <w:r>
        <w:rPr>
          <w:rFonts w:ascii="TimesNewRomanPSMT" w:hAnsi="TimesNewRomanPSMT" w:cs="TimesNewRomanPSMT"/>
          <w:kern w:val="0"/>
          <w:szCs w:val="21"/>
        </w:rPr>
        <w:t>of wetland area to total area ratio, river, artificial wetland and lake main type; National Wetland Parks facing</w:t>
      </w:r>
      <w:r>
        <w:rPr>
          <w:rFonts w:ascii="TimesNewRomanPSMT" w:hAnsi="TimesNewRomanPSMT" w:cs="TimesNewRomanPSMT" w:hint="eastAsia"/>
          <w:kern w:val="0"/>
          <w:szCs w:val="21"/>
        </w:rPr>
        <w:t xml:space="preserve"> </w:t>
      </w:r>
      <w:r>
        <w:rPr>
          <w:rFonts w:ascii="TimesNewRomanPSMT" w:hAnsi="TimesNewRomanPSMT" w:cs="TimesNewRomanPSMT"/>
          <w:kern w:val="0"/>
          <w:szCs w:val="21"/>
        </w:rPr>
        <w:t>following problems: uneven distribution, lack funds, contradiction of national protection and local use, imperfection</w:t>
      </w:r>
      <w:r>
        <w:rPr>
          <w:rFonts w:ascii="TimesNewRomanPSMT" w:hAnsi="TimesNewRomanPSMT" w:cs="TimesNewRomanPSMT" w:hint="eastAsia"/>
          <w:kern w:val="0"/>
          <w:szCs w:val="21"/>
        </w:rPr>
        <w:t xml:space="preserve"> </w:t>
      </w:r>
      <w:r>
        <w:rPr>
          <w:rFonts w:ascii="TimesNewRomanPSMT" w:hAnsi="TimesNewRomanPSMT" w:cs="TimesNewRomanPSMT"/>
          <w:kern w:val="0"/>
          <w:szCs w:val="21"/>
        </w:rPr>
        <w:t>of</w:t>
      </w:r>
      <w:r>
        <w:rPr>
          <w:rFonts w:ascii="TimesNewRomanPSMT" w:hAnsi="TimesNewRomanPSMT" w:cs="TimesNewRomanPSMT" w:hint="eastAsia"/>
          <w:kern w:val="0"/>
          <w:szCs w:val="21"/>
        </w:rPr>
        <w:t xml:space="preserve"> </w:t>
      </w:r>
      <w:r>
        <w:rPr>
          <w:rFonts w:ascii="TimesNewRomanPSMT" w:hAnsi="TimesNewRomanPSMT" w:cs="TimesNewRomanPSMT"/>
          <w:kern w:val="0"/>
          <w:szCs w:val="21"/>
        </w:rPr>
        <w:t>legal regulations and technical standards, lacks of scientific researchers and professional personnel,</w:t>
      </w:r>
    </w:p>
    <w:p w:rsidR="00134B84" w:rsidRDefault="00134B84" w:rsidP="00134B84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Cs w:val="21"/>
        </w:rPr>
      </w:pPr>
      <w:r>
        <w:rPr>
          <w:rFonts w:ascii="TimesNewRomanPSMT" w:hAnsi="TimesNewRomanPSMT" w:cs="TimesNewRomanPSMT"/>
          <w:kern w:val="0"/>
          <w:szCs w:val="21"/>
        </w:rPr>
        <w:t>faultiness of professional supervision system and matching mechanism</w:t>
      </w:r>
      <w:r>
        <w:rPr>
          <w:rFonts w:ascii="TimesNewRomanPSMT" w:hAnsi="TimesNewRomanPSMT" w:cs="TimesNewRomanPSMT" w:hint="eastAsia"/>
          <w:kern w:val="0"/>
          <w:szCs w:val="21"/>
        </w:rPr>
        <w:t>.</w:t>
      </w:r>
    </w:p>
    <w:p w:rsidR="00134B84" w:rsidRDefault="00134B84" w:rsidP="00134B84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Cs w:val="21"/>
        </w:rPr>
      </w:pPr>
      <w:r>
        <w:rPr>
          <w:rStyle w:val="a7"/>
          <w:rFonts w:hint="eastAsia"/>
          <w:bCs/>
          <w:color w:val="C00000"/>
        </w:rPr>
        <w:t>（空一行）</w:t>
      </w:r>
    </w:p>
    <w:p w:rsidR="00134B84" w:rsidRDefault="00134B84" w:rsidP="00134B84">
      <w:pPr>
        <w:snapToGrid w:val="0"/>
        <w:rPr>
          <w:bCs/>
          <w:color w:val="C00000"/>
          <w:szCs w:val="21"/>
        </w:rPr>
      </w:pPr>
      <w:r w:rsidRPr="001F3C3D">
        <w:rPr>
          <w:rFonts w:ascii="TimesNewRomanPSMT" w:hAnsi="TimesNewRomanPSMT" w:cs="TimesNewRomanPSMT"/>
          <w:b/>
          <w:kern w:val="0"/>
          <w:szCs w:val="21"/>
        </w:rPr>
        <w:t>Keywords:</w:t>
      </w:r>
      <w:r>
        <w:rPr>
          <w:rFonts w:ascii="TimesNewRomanPSMT" w:hAnsi="TimesNewRomanPSMT" w:cs="TimesNewRomanPSMT"/>
          <w:kern w:val="0"/>
          <w:szCs w:val="21"/>
        </w:rPr>
        <w:t xml:space="preserve"> NationalWetland Park; status quo; challenge; strategy;</w:t>
      </w:r>
      <w:r>
        <w:rPr>
          <w:rFonts w:ascii="TimesNewRomanPSMT" w:hAnsi="TimesNewRomanPSMT" w:cs="TimesNewRomanPSMT" w:hint="eastAsia"/>
          <w:kern w:val="0"/>
          <w:szCs w:val="21"/>
        </w:rPr>
        <w:t xml:space="preserve"> </w:t>
      </w:r>
      <w:r>
        <w:rPr>
          <w:rFonts w:ascii="TimesNewRomanPSMT" w:hAnsi="TimesNewRomanPSMT" w:cs="TimesNewRomanPSMT"/>
          <w:kern w:val="0"/>
          <w:szCs w:val="21"/>
        </w:rPr>
        <w:t>China</w:t>
      </w:r>
    </w:p>
    <w:p w:rsidR="00134B84" w:rsidRDefault="00134B84" w:rsidP="00134B84">
      <w:pPr>
        <w:snapToGrid w:val="0"/>
        <w:rPr>
          <w:bCs/>
          <w:color w:val="C00000"/>
          <w:szCs w:val="21"/>
        </w:rPr>
      </w:pPr>
    </w:p>
    <w:p w:rsidR="00134B84" w:rsidRPr="001F3C3D" w:rsidRDefault="00134B84" w:rsidP="00134B84">
      <w:pPr>
        <w:snapToGrid w:val="0"/>
        <w:rPr>
          <w:bCs/>
          <w:color w:val="C00000"/>
          <w:szCs w:val="21"/>
        </w:rPr>
      </w:pPr>
      <w:r>
        <w:rPr>
          <w:rFonts w:hint="eastAsia"/>
          <w:bCs/>
          <w:color w:val="C00000"/>
          <w:szCs w:val="21"/>
        </w:rPr>
        <w:t>备注：段落单倍行距为</w:t>
      </w:r>
      <w:r>
        <w:rPr>
          <w:rFonts w:hint="eastAsia"/>
          <w:bCs/>
          <w:color w:val="C00000"/>
          <w:szCs w:val="21"/>
        </w:rPr>
        <w:t>1</w:t>
      </w:r>
      <w:r>
        <w:rPr>
          <w:rFonts w:hint="eastAsia"/>
          <w:bCs/>
          <w:color w:val="C00000"/>
          <w:szCs w:val="21"/>
        </w:rPr>
        <w:t>；</w:t>
      </w:r>
    </w:p>
    <w:p w:rsidR="001C11E7" w:rsidRPr="00134B84" w:rsidRDefault="001C11E7"/>
    <w:sectPr w:rsidR="001C11E7" w:rsidRPr="00134B84" w:rsidSect="00674944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FAB" w:rsidRDefault="00422FAB" w:rsidP="00134B84">
      <w:r>
        <w:separator/>
      </w:r>
    </w:p>
  </w:endnote>
  <w:endnote w:type="continuationSeparator" w:id="0">
    <w:p w:rsidR="00422FAB" w:rsidRDefault="00422FAB" w:rsidP="0013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3" w:usb1="00000000" w:usb2="00000010" w:usb3="00000000" w:csb0="00040001" w:csb1="00000000"/>
  </w:font>
  <w:font w:name="AdobeHeitiStd-Regular">
    <w:altName w:val="宋体"/>
    <w:charset w:val="86"/>
    <w:family w:val="auto"/>
    <w:pitch w:val="default"/>
    <w:sig w:usb0="00000000" w:usb1="00000000" w:usb2="00000010" w:usb3="00000000" w:csb0="00040000" w:csb1="00000000"/>
  </w:font>
  <w:font w:name="E-HZ+ZGCDq5-5">
    <w:altName w:val="宋体"/>
    <w:charset w:val="86"/>
    <w:family w:val="auto"/>
    <w:pitch w:val="default"/>
    <w:sig w:usb0="00000000" w:usb1="00000000" w:usb2="00000010" w:usb3="00000000" w:csb0="00040000" w:csb1="00000000"/>
  </w:font>
  <w:font w:name="B5+CAJSymbolA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FAB" w:rsidRDefault="00422FAB" w:rsidP="00134B84">
      <w:r>
        <w:separator/>
      </w:r>
    </w:p>
  </w:footnote>
  <w:footnote w:type="continuationSeparator" w:id="0">
    <w:p w:rsidR="00422FAB" w:rsidRDefault="00422FAB" w:rsidP="00134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F6"/>
    <w:rsid w:val="0001517D"/>
    <w:rsid w:val="00134B84"/>
    <w:rsid w:val="001C11E7"/>
    <w:rsid w:val="00422FAB"/>
    <w:rsid w:val="0075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5D257"/>
  <w15:chartTrackingRefBased/>
  <w15:docId w15:val="{9CBEA69E-F402-4356-A2C6-F51E79C0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B8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4B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4B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4B84"/>
    <w:rPr>
      <w:sz w:val="18"/>
      <w:szCs w:val="18"/>
    </w:rPr>
  </w:style>
  <w:style w:type="character" w:styleId="a7">
    <w:name w:val="annotation reference"/>
    <w:basedOn w:val="a0"/>
    <w:qFormat/>
    <w:rsid w:val="00134B84"/>
    <w:rPr>
      <w:sz w:val="21"/>
      <w:szCs w:val="21"/>
    </w:rPr>
  </w:style>
  <w:style w:type="character" w:styleId="a8">
    <w:name w:val="footnote reference"/>
    <w:basedOn w:val="a0"/>
    <w:qFormat/>
    <w:rsid w:val="00134B84"/>
    <w:rPr>
      <w:vertAlign w:val="superscript"/>
    </w:rPr>
  </w:style>
  <w:style w:type="paragraph" w:customStyle="1" w:styleId="EndNoteBibliography">
    <w:name w:val="EndNote Bibliography"/>
    <w:unhideWhenUsed/>
    <w:qFormat/>
    <w:rsid w:val="00134B84"/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杨升达</dc:creator>
  <cp:keywords/>
  <dc:description/>
  <cp:lastModifiedBy>杨升达</cp:lastModifiedBy>
  <cp:revision>3</cp:revision>
  <dcterms:created xsi:type="dcterms:W3CDTF">2016-06-16T19:35:00Z</dcterms:created>
  <dcterms:modified xsi:type="dcterms:W3CDTF">2016-06-16T19:35:00Z</dcterms:modified>
</cp:coreProperties>
</file>