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6948"/>
      </w:tblGrid>
      <w:tr w:rsidR="000110FD" w:rsidRPr="00892059" w14:paraId="0A803608" w14:textId="77777777" w:rsidTr="005D6CEC">
        <w:tc>
          <w:tcPr>
            <w:tcW w:w="9576" w:type="dxa"/>
            <w:gridSpan w:val="2"/>
            <w:tcBorders>
              <w:bottom w:val="nil"/>
            </w:tcBorders>
          </w:tcPr>
          <w:p w14:paraId="579F0499" w14:textId="77777777" w:rsidR="000110FD" w:rsidRPr="00892059" w:rsidRDefault="005D6CEC" w:rsidP="005D6CEC">
            <w:pPr>
              <w:jc w:val="center"/>
              <w:rPr>
                <w:rFonts w:ascii="Arial" w:hAnsi="Arial"/>
                <w:b/>
                <w:kern w:val="32"/>
                <w:sz w:val="28"/>
              </w:rPr>
            </w:pPr>
            <w:r>
              <w:rPr>
                <w:rFonts w:cs="Helvetica"/>
                <w:b/>
                <w:bCs/>
                <w:color w:val="000000"/>
                <w:sz w:val="28"/>
                <w:lang w:eastAsia="ja-JP"/>
              </w:rPr>
              <w:t>Evolution of Natural Products for Cancer Chemotherapy</w:t>
            </w:r>
          </w:p>
        </w:tc>
      </w:tr>
      <w:tr w:rsidR="000110FD" w:rsidRPr="00892059" w14:paraId="2E28288B" w14:textId="77777777" w:rsidTr="005D6CEC">
        <w:tc>
          <w:tcPr>
            <w:tcW w:w="9576" w:type="dxa"/>
            <w:gridSpan w:val="2"/>
            <w:tcBorders>
              <w:top w:val="nil"/>
              <w:bottom w:val="nil"/>
            </w:tcBorders>
          </w:tcPr>
          <w:p w14:paraId="73A57937" w14:textId="77777777" w:rsidR="000110FD" w:rsidRPr="00892059" w:rsidRDefault="000110FD" w:rsidP="005D6CEC">
            <w:pPr>
              <w:spacing w:after="120"/>
              <w:jc w:val="center"/>
              <w:rPr>
                <w:b/>
                <w:i/>
                <w:sz w:val="28"/>
              </w:rPr>
            </w:pPr>
            <w:r>
              <w:rPr>
                <w:b/>
                <w:i/>
                <w:sz w:val="28"/>
                <w:u w:val="single"/>
              </w:rPr>
              <w:t>Jürgen Rohr</w:t>
            </w:r>
          </w:p>
        </w:tc>
      </w:tr>
      <w:tr w:rsidR="000110FD" w:rsidRPr="00892059" w14:paraId="3133932D" w14:textId="77777777" w:rsidTr="005D6CEC">
        <w:tc>
          <w:tcPr>
            <w:tcW w:w="9576" w:type="dxa"/>
            <w:gridSpan w:val="2"/>
            <w:tcBorders>
              <w:top w:val="nil"/>
              <w:bottom w:val="nil"/>
            </w:tcBorders>
          </w:tcPr>
          <w:p w14:paraId="55A8362F" w14:textId="77777777" w:rsidR="000110FD" w:rsidRPr="00892059" w:rsidRDefault="000110FD" w:rsidP="005D6CEC">
            <w:pPr>
              <w:spacing w:after="120"/>
              <w:jc w:val="center"/>
              <w:rPr>
                <w:b/>
                <w:sz w:val="28"/>
              </w:rPr>
            </w:pPr>
            <w:r>
              <w:t>Department of Pharmaceutical Sciences, College of Pharmacy, University of Kentucky, 789 S. Limestone St, Lexington, Kentucky 40-536-0596, USA</w:t>
            </w:r>
          </w:p>
        </w:tc>
      </w:tr>
      <w:tr w:rsidR="000110FD" w:rsidRPr="00892059" w14:paraId="3732DAE0" w14:textId="77777777" w:rsidTr="005D6CEC">
        <w:tc>
          <w:tcPr>
            <w:tcW w:w="9576" w:type="dxa"/>
            <w:gridSpan w:val="2"/>
            <w:tcBorders>
              <w:top w:val="nil"/>
              <w:bottom w:val="nil"/>
            </w:tcBorders>
          </w:tcPr>
          <w:p w14:paraId="22A1E09E" w14:textId="77777777" w:rsidR="000110FD" w:rsidRPr="00892059" w:rsidRDefault="000110FD" w:rsidP="005D6CEC">
            <w:pPr>
              <w:spacing w:after="120"/>
              <w:jc w:val="center"/>
            </w:pPr>
            <w:r>
              <w:t>jrohr2</w:t>
            </w:r>
            <w:r w:rsidRPr="00892059">
              <w:t>@</w:t>
            </w:r>
            <w:r>
              <w:t>email.uky.edu</w:t>
            </w:r>
          </w:p>
        </w:tc>
      </w:tr>
      <w:tr w:rsidR="000110FD" w:rsidRPr="00892059" w14:paraId="57D9B4EA" w14:textId="77777777" w:rsidTr="005D6CEC">
        <w:tc>
          <w:tcPr>
            <w:tcW w:w="9576" w:type="dxa"/>
            <w:gridSpan w:val="2"/>
            <w:tcBorders>
              <w:top w:val="nil"/>
              <w:bottom w:val="single" w:sz="4" w:space="0" w:color="auto"/>
            </w:tcBorders>
          </w:tcPr>
          <w:p w14:paraId="3503962C" w14:textId="4707129A" w:rsidR="000110FD" w:rsidRPr="00085CAF" w:rsidRDefault="005D6CEC" w:rsidP="005D6CEC">
            <w:pPr>
              <w:rPr>
                <w:rFonts w:ascii="Arial" w:hAnsi="Arial" w:cs="Arial"/>
                <w:bCs/>
                <w:sz w:val="16"/>
                <w:szCs w:val="16"/>
                <w:lang w:eastAsia="en-GB"/>
              </w:rPr>
            </w:pPr>
            <w:r>
              <w:rPr>
                <w:bCs/>
              </w:rPr>
              <w:t xml:space="preserve">Natural products </w:t>
            </w:r>
            <w:r w:rsidR="00B04781">
              <w:rPr>
                <w:bCs/>
              </w:rPr>
              <w:t xml:space="preserve">always had </w:t>
            </w:r>
            <w:r>
              <w:rPr>
                <w:bCs/>
              </w:rPr>
              <w:t>a</w:t>
            </w:r>
            <w:r w:rsidR="00B04781">
              <w:rPr>
                <w:bCs/>
              </w:rPr>
              <w:t xml:space="preserve"> major impact on drug discover, particularly for clinical cancer chemotherapeutics, which are ~</w:t>
            </w:r>
            <w:r>
              <w:rPr>
                <w:bCs/>
              </w:rPr>
              <w:t>70% natural product derived. Yet, the natural products themselves are often not optimal, due to toxicity, ins</w:t>
            </w:r>
            <w:r w:rsidR="00B04781">
              <w:rPr>
                <w:bCs/>
              </w:rPr>
              <w:t xml:space="preserve">tability or solubility issues. But the modification of </w:t>
            </w:r>
            <w:r>
              <w:rPr>
                <w:bCs/>
              </w:rPr>
              <w:t>natural products</w:t>
            </w:r>
            <w:r w:rsidR="00B04781">
              <w:rPr>
                <w:bCs/>
              </w:rPr>
              <w:t>, which are usually too complex for a practical total synthesis,</w:t>
            </w:r>
            <w:r>
              <w:rPr>
                <w:bCs/>
              </w:rPr>
              <w:t xml:space="preserve"> requires a fundamental understanding of their </w:t>
            </w:r>
            <w:r w:rsidR="00B04781">
              <w:rPr>
                <w:bCs/>
              </w:rPr>
              <w:t>biosynthetic pathways</w:t>
            </w:r>
            <w:r>
              <w:rPr>
                <w:bCs/>
              </w:rPr>
              <w:t>, which</w:t>
            </w:r>
            <w:r w:rsidR="00B04781">
              <w:rPr>
                <w:bCs/>
              </w:rPr>
              <w:t xml:space="preserve"> in turn </w:t>
            </w:r>
            <w:r>
              <w:rPr>
                <w:bCs/>
              </w:rPr>
              <w:t xml:space="preserve">enables modification strategies based on combinatorial biosynthesis (pathway engineering) or chemo-enzymatic modifications, such as </w:t>
            </w:r>
            <w:r w:rsidR="00722526">
              <w:rPr>
                <w:bCs/>
              </w:rPr>
              <w:t xml:space="preserve">mutasynthesis or chemical derivatizations. </w:t>
            </w:r>
            <w:r w:rsidR="000110FD" w:rsidRPr="003C585E">
              <w:rPr>
                <w:bCs/>
              </w:rPr>
              <w:t>The e</w:t>
            </w:r>
            <w:r>
              <w:rPr>
                <w:bCs/>
              </w:rPr>
              <w:t>xact sequence of events in biosy</w:t>
            </w:r>
            <w:r w:rsidR="000110FD" w:rsidRPr="003C585E">
              <w:rPr>
                <w:bCs/>
              </w:rPr>
              <w:t xml:space="preserve">ntheses of natural products is essential not only to understand and learn from nature’s strategies and tricks to assemble complex natural products, but also for yield optimization of desired natural products, and </w:t>
            </w:r>
            <w:r w:rsidR="007974E1">
              <w:rPr>
                <w:bCs/>
              </w:rPr>
              <w:t>application of the above mentioned bio-modification strategies</w:t>
            </w:r>
            <w:r w:rsidR="000110FD" w:rsidRPr="003C585E">
              <w:rPr>
                <w:bCs/>
              </w:rPr>
              <w:t xml:space="preserve">. </w:t>
            </w:r>
            <w:r w:rsidR="000110FD">
              <w:rPr>
                <w:bCs/>
              </w:rPr>
              <w:t>Classical b</w:t>
            </w:r>
            <w:r w:rsidR="000110FD" w:rsidRPr="003C585E">
              <w:rPr>
                <w:bCs/>
              </w:rPr>
              <w:t>iosynthe</w:t>
            </w:r>
            <w:r w:rsidR="000110FD">
              <w:rPr>
                <w:bCs/>
              </w:rPr>
              <w:t xml:space="preserve">tic studies including </w:t>
            </w:r>
            <w:r w:rsidR="000110FD" w:rsidRPr="003C585E">
              <w:rPr>
                <w:bCs/>
              </w:rPr>
              <w:t>incorporation experiments</w:t>
            </w:r>
            <w:r w:rsidR="000110FD">
              <w:rPr>
                <w:bCs/>
              </w:rPr>
              <w:t xml:space="preserve">, </w:t>
            </w:r>
            <w:r w:rsidR="00F61119">
              <w:rPr>
                <w:bCs/>
              </w:rPr>
              <w:t>cross</w:t>
            </w:r>
            <w:r w:rsidR="000110FD" w:rsidRPr="003C585E">
              <w:rPr>
                <w:bCs/>
              </w:rPr>
              <w:t>feeding experiments</w:t>
            </w:r>
            <w:r w:rsidR="000110FD">
              <w:rPr>
                <w:bCs/>
              </w:rPr>
              <w:t xml:space="preserve">, and </w:t>
            </w:r>
            <w:r w:rsidR="000110FD" w:rsidRPr="003C585E">
              <w:rPr>
                <w:bCs/>
              </w:rPr>
              <w:t xml:space="preserve">genetic studies </w:t>
            </w:r>
            <w:r w:rsidR="000110FD">
              <w:rPr>
                <w:bCs/>
              </w:rPr>
              <w:t>(</w:t>
            </w:r>
            <w:r w:rsidR="000110FD" w:rsidRPr="003C585E">
              <w:rPr>
                <w:bCs/>
              </w:rPr>
              <w:t>gene cluster determination and gene inactivation</w:t>
            </w:r>
            <w:r w:rsidR="000110FD">
              <w:rPr>
                <w:bCs/>
              </w:rPr>
              <w:t>)</w:t>
            </w:r>
            <w:r w:rsidR="000110FD" w:rsidRPr="003C585E">
              <w:rPr>
                <w:bCs/>
              </w:rPr>
              <w:t xml:space="preserve"> </w:t>
            </w:r>
            <w:r w:rsidR="000110FD">
              <w:rPr>
                <w:bCs/>
              </w:rPr>
              <w:t xml:space="preserve">led to many proposals of </w:t>
            </w:r>
            <w:r w:rsidR="000110FD" w:rsidRPr="003C585E">
              <w:rPr>
                <w:bCs/>
              </w:rPr>
              <w:t>biosynthetic pathways</w:t>
            </w:r>
            <w:r w:rsidR="000110FD">
              <w:rPr>
                <w:bCs/>
              </w:rPr>
              <w:t>,</w:t>
            </w:r>
            <w:r w:rsidR="007974E1">
              <w:rPr>
                <w:bCs/>
              </w:rPr>
              <w:t xml:space="preserve"> but</w:t>
            </w:r>
            <w:r w:rsidR="000110FD">
              <w:rPr>
                <w:bCs/>
              </w:rPr>
              <w:t xml:space="preserve"> often</w:t>
            </w:r>
            <w:r w:rsidR="000110FD" w:rsidRPr="003C585E">
              <w:rPr>
                <w:bCs/>
              </w:rPr>
              <w:t xml:space="preserve"> just through </w:t>
            </w:r>
            <w:r w:rsidR="000110FD" w:rsidRPr="003C585E">
              <w:rPr>
                <w:bCs/>
                <w:i/>
              </w:rPr>
              <w:t>in silico</w:t>
            </w:r>
            <w:r w:rsidR="000110FD" w:rsidRPr="003C585E">
              <w:rPr>
                <w:bCs/>
              </w:rPr>
              <w:t xml:space="preserve"> analyses of the biosynthetic gene clusters. Investigations of the complex biosyntheses of the </w:t>
            </w:r>
            <w:r w:rsidR="00722526">
              <w:rPr>
                <w:bCs/>
              </w:rPr>
              <w:t xml:space="preserve">aureolic acid group and some examples of the </w:t>
            </w:r>
            <w:r w:rsidR="000110FD" w:rsidRPr="003C585E">
              <w:rPr>
                <w:bCs/>
              </w:rPr>
              <w:t xml:space="preserve">angucycline group </w:t>
            </w:r>
            <w:r w:rsidR="00722526">
              <w:rPr>
                <w:bCs/>
              </w:rPr>
              <w:t xml:space="preserve">of </w:t>
            </w:r>
            <w:r w:rsidR="000110FD" w:rsidRPr="003C585E">
              <w:rPr>
                <w:bCs/>
              </w:rPr>
              <w:t>anticancer drugs</w:t>
            </w:r>
            <w:r w:rsidR="00722526">
              <w:rPr>
                <w:bCs/>
              </w:rPr>
              <w:t xml:space="preserve"> (mithramycin, </w:t>
            </w:r>
            <w:r w:rsidR="000110FD" w:rsidRPr="003C585E">
              <w:rPr>
                <w:bCs/>
              </w:rPr>
              <w:t xml:space="preserve"> landomycin</w:t>
            </w:r>
            <w:r w:rsidR="00722526">
              <w:rPr>
                <w:bCs/>
              </w:rPr>
              <w:t xml:space="preserve">, </w:t>
            </w:r>
            <w:r w:rsidR="000110FD" w:rsidRPr="003C585E">
              <w:rPr>
                <w:bCs/>
              </w:rPr>
              <w:t>gilvocarcin</w:t>
            </w:r>
            <w:r w:rsidR="00722526">
              <w:rPr>
                <w:bCs/>
              </w:rPr>
              <w:t>)</w:t>
            </w:r>
            <w:r w:rsidR="000110FD" w:rsidRPr="003C585E">
              <w:rPr>
                <w:bCs/>
              </w:rPr>
              <w:t xml:space="preserve"> revealed that </w:t>
            </w:r>
            <w:r w:rsidR="007974E1">
              <w:rPr>
                <w:bCs/>
              </w:rPr>
              <w:t>applied classical methods</w:t>
            </w:r>
            <w:r w:rsidR="00722526">
              <w:rPr>
                <w:bCs/>
              </w:rPr>
              <w:t xml:space="preserve"> </w:t>
            </w:r>
            <w:r w:rsidR="000110FD">
              <w:rPr>
                <w:bCs/>
              </w:rPr>
              <w:t>fail</w:t>
            </w:r>
            <w:r w:rsidR="007974E1">
              <w:rPr>
                <w:bCs/>
              </w:rPr>
              <w:t>ed</w:t>
            </w:r>
            <w:r w:rsidR="000110FD">
              <w:rPr>
                <w:bCs/>
              </w:rPr>
              <w:t xml:space="preserve"> </w:t>
            </w:r>
            <w:r w:rsidR="000110FD" w:rsidRPr="003C585E">
              <w:rPr>
                <w:bCs/>
              </w:rPr>
              <w:t>to delineate the true biosynthetic sequence of events</w:t>
            </w:r>
            <w:r w:rsidR="007974E1">
              <w:rPr>
                <w:bCs/>
              </w:rPr>
              <w:t xml:space="preserve">. In order to </w:t>
            </w:r>
            <w:r w:rsidR="000110FD" w:rsidRPr="003C585E">
              <w:rPr>
                <w:bCs/>
              </w:rPr>
              <w:t>unambig</w:t>
            </w:r>
            <w:r w:rsidR="007974E1">
              <w:rPr>
                <w:bCs/>
              </w:rPr>
              <w:t xml:space="preserve">uously assign enzyme activities, </w:t>
            </w:r>
            <w:r w:rsidR="007974E1">
              <w:rPr>
                <w:bCs/>
                <w:i/>
              </w:rPr>
              <w:t>i</w:t>
            </w:r>
            <w:r w:rsidR="000110FD" w:rsidRPr="003C585E">
              <w:rPr>
                <w:bCs/>
                <w:i/>
              </w:rPr>
              <w:t xml:space="preserve">n vitro </w:t>
            </w:r>
            <w:r w:rsidR="000110FD" w:rsidRPr="003C585E">
              <w:rPr>
                <w:bCs/>
              </w:rPr>
              <w:t>pathway reconstitution and systematic studies and recombination of its enzyme components (combinatorial biosynthetic enzymology) turned out to be the only way to delineate the complex post-polyketide tailoring steps toward the</w:t>
            </w:r>
            <w:r w:rsidR="00722526">
              <w:rPr>
                <w:bCs/>
              </w:rPr>
              <w:t>se ant</w:t>
            </w:r>
            <w:r w:rsidR="007974E1">
              <w:rPr>
                <w:bCs/>
              </w:rPr>
              <w:t>i</w:t>
            </w:r>
            <w:r w:rsidR="00722526">
              <w:rPr>
                <w:bCs/>
              </w:rPr>
              <w:t>cancer natural products</w:t>
            </w:r>
            <w:r w:rsidR="000110FD" w:rsidRPr="003C585E">
              <w:rPr>
                <w:bCs/>
              </w:rPr>
              <w:t>. Th</w:t>
            </w:r>
            <w:r w:rsidR="000110FD">
              <w:rPr>
                <w:bCs/>
              </w:rPr>
              <w:t xml:space="preserve">is </w:t>
            </w:r>
            <w:r w:rsidR="007974E1">
              <w:rPr>
                <w:bCs/>
              </w:rPr>
              <w:t xml:space="preserve">not only revealed intriguing multifunctional and/or co-dependent enzymes but </w:t>
            </w:r>
            <w:r w:rsidR="000110FD" w:rsidRPr="003C585E">
              <w:rPr>
                <w:bCs/>
              </w:rPr>
              <w:t xml:space="preserve">also allowed to unambiguously assign </w:t>
            </w:r>
            <w:r w:rsidR="007974E1">
              <w:rPr>
                <w:bCs/>
              </w:rPr>
              <w:t xml:space="preserve">the </w:t>
            </w:r>
            <w:r w:rsidR="000110FD" w:rsidRPr="003C585E">
              <w:rPr>
                <w:bCs/>
              </w:rPr>
              <w:t>involved enzymes, and co</w:t>
            </w:r>
            <w:r w:rsidR="007974E1">
              <w:rPr>
                <w:bCs/>
              </w:rPr>
              <w:t xml:space="preserve">rrected </w:t>
            </w:r>
            <w:r w:rsidR="000110FD" w:rsidRPr="003C585E">
              <w:rPr>
                <w:bCs/>
              </w:rPr>
              <w:t xml:space="preserve">many of the earlier drawn hypotheses and conclusions.     </w:t>
            </w:r>
          </w:p>
          <w:p w14:paraId="65A4E4CF" w14:textId="77777777" w:rsidR="000110FD" w:rsidRPr="004742F2" w:rsidRDefault="000110FD" w:rsidP="005D6CEC">
            <w:pPr>
              <w:rPr>
                <w:rFonts w:ascii="Arial" w:hAnsi="Arial" w:cs="Arial"/>
                <w:bCs/>
                <w:sz w:val="16"/>
                <w:szCs w:val="16"/>
                <w:lang w:eastAsia="en-GB"/>
              </w:rPr>
            </w:pPr>
            <w:r w:rsidRPr="00085CAF">
              <w:rPr>
                <w:noProof/>
              </w:rPr>
              <w:t xml:space="preserve">  </w:t>
            </w:r>
          </w:p>
          <w:p w14:paraId="01EAB657" w14:textId="77777777" w:rsidR="000110FD" w:rsidRPr="00FE1F97" w:rsidRDefault="000110FD" w:rsidP="005D6CEC">
            <w:pPr>
              <w:pStyle w:val="a3"/>
              <w:jc w:val="left"/>
              <w:rPr>
                <w:b/>
                <w:bCs/>
                <w:sz w:val="20"/>
                <w:szCs w:val="20"/>
              </w:rPr>
            </w:pPr>
            <w:r w:rsidRPr="00FE1F97">
              <w:rPr>
                <w:b/>
                <w:bCs/>
                <w:sz w:val="20"/>
                <w:szCs w:val="20"/>
              </w:rPr>
              <w:t>References</w:t>
            </w:r>
          </w:p>
          <w:p w14:paraId="2461D29E" w14:textId="1E4924C3" w:rsidR="000110FD" w:rsidRPr="00195E17" w:rsidRDefault="000110FD" w:rsidP="00195E17">
            <w:pPr>
              <w:pStyle w:val="a3"/>
              <w:jc w:val="left"/>
            </w:pPr>
            <w:r>
              <w:rPr>
                <w:noProof/>
                <w:sz w:val="20"/>
                <w:szCs w:val="20"/>
                <w:lang w:eastAsia="zh-CN"/>
              </w:rPr>
              <w:drawing>
                <wp:anchor distT="0" distB="0" distL="114300" distR="114300" simplePos="0" relativeHeight="251657216" behindDoc="0" locked="0" layoutInCell="1" allowOverlap="1" wp14:anchorId="6804F21F" wp14:editId="20C98919">
                  <wp:simplePos x="0" y="0"/>
                  <wp:positionH relativeFrom="column">
                    <wp:posOffset>4622800</wp:posOffset>
                  </wp:positionH>
                  <wp:positionV relativeFrom="paragraph">
                    <wp:posOffset>-398145</wp:posOffset>
                  </wp:positionV>
                  <wp:extent cx="122301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30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zh-CN"/>
              </w:rPr>
              <w:drawing>
                <wp:anchor distT="0" distB="0" distL="114300" distR="114300" simplePos="0" relativeHeight="251658240" behindDoc="0" locked="0" layoutInCell="1" allowOverlap="1" wp14:anchorId="6E9D44E4" wp14:editId="2268E39A">
                  <wp:simplePos x="0" y="0"/>
                  <wp:positionH relativeFrom="column">
                    <wp:posOffset>3112135</wp:posOffset>
                  </wp:positionH>
                  <wp:positionV relativeFrom="paragraph">
                    <wp:posOffset>-398145</wp:posOffset>
                  </wp:positionV>
                  <wp:extent cx="1365885" cy="9144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58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F97">
              <w:rPr>
                <w:bCs/>
                <w:sz w:val="20"/>
                <w:szCs w:val="20"/>
              </w:rPr>
              <w:t>a) Pahari P., Kharel M.K., Shephe</w:t>
            </w:r>
            <w:r w:rsidR="00195E17">
              <w:rPr>
                <w:bCs/>
                <w:sz w:val="20"/>
                <w:szCs w:val="20"/>
              </w:rPr>
              <w:t>rd M.D., Van Lanen S.G., Rohr J.,</w:t>
            </w:r>
            <w:r w:rsidRPr="00FE1F97">
              <w:rPr>
                <w:sz w:val="20"/>
                <w:szCs w:val="20"/>
              </w:rPr>
              <w:t xml:space="preserve"> </w:t>
            </w:r>
            <w:r w:rsidRPr="00FE1F97">
              <w:rPr>
                <w:bCs/>
                <w:i/>
                <w:sz w:val="20"/>
                <w:szCs w:val="20"/>
              </w:rPr>
              <w:t xml:space="preserve">Angew. Chem. Int. Ed. </w:t>
            </w:r>
            <w:r w:rsidRPr="00FE1F97">
              <w:rPr>
                <w:b/>
                <w:bCs/>
                <w:sz w:val="20"/>
                <w:szCs w:val="20"/>
              </w:rPr>
              <w:t>2012</w:t>
            </w:r>
            <w:r w:rsidRPr="00FE1F97">
              <w:rPr>
                <w:bCs/>
                <w:sz w:val="20"/>
                <w:szCs w:val="20"/>
              </w:rPr>
              <w:t xml:space="preserve">, </w:t>
            </w:r>
            <w:r w:rsidRPr="00FE1F97">
              <w:rPr>
                <w:bCs/>
                <w:i/>
                <w:sz w:val="20"/>
                <w:szCs w:val="20"/>
              </w:rPr>
              <w:t xml:space="preserve">51 </w:t>
            </w:r>
            <w:r w:rsidRPr="00FE1F97">
              <w:rPr>
                <w:bCs/>
                <w:sz w:val="20"/>
                <w:szCs w:val="20"/>
              </w:rPr>
              <w:t>(5)</w:t>
            </w:r>
            <w:r>
              <w:rPr>
                <w:bCs/>
                <w:sz w:val="20"/>
                <w:szCs w:val="20"/>
              </w:rPr>
              <w:t xml:space="preserve">, 1216-1220; </w:t>
            </w:r>
            <w:r w:rsidRPr="00195E17">
              <w:rPr>
                <w:bCs/>
                <w:sz w:val="20"/>
                <w:szCs w:val="20"/>
              </w:rPr>
              <w:t xml:space="preserve">b) </w:t>
            </w:r>
            <w:r w:rsidR="007974E1" w:rsidRPr="00195E17">
              <w:rPr>
                <w:bCs/>
                <w:sz w:val="20"/>
                <w:szCs w:val="20"/>
              </w:rPr>
              <w:t>Wang, G.</w:t>
            </w:r>
            <w:r w:rsidR="00195E17">
              <w:rPr>
                <w:bCs/>
                <w:sz w:val="20"/>
                <w:szCs w:val="20"/>
              </w:rPr>
              <w:t xml:space="preserve"> Pahari, P., Kharel, M.</w:t>
            </w:r>
            <w:r w:rsidR="00195E17" w:rsidRPr="00195E17">
              <w:rPr>
                <w:bCs/>
                <w:sz w:val="20"/>
                <w:szCs w:val="20"/>
              </w:rPr>
              <w:t>K., Chen, J., Zhu,</w:t>
            </w:r>
            <w:r w:rsidR="00195E17">
              <w:rPr>
                <w:bCs/>
                <w:sz w:val="20"/>
                <w:szCs w:val="20"/>
              </w:rPr>
              <w:t xml:space="preserve"> H., Van Lanen, S.</w:t>
            </w:r>
            <w:r w:rsidR="00195E17" w:rsidRPr="00195E17">
              <w:rPr>
                <w:bCs/>
                <w:sz w:val="20"/>
                <w:szCs w:val="20"/>
              </w:rPr>
              <w:t xml:space="preserve">G., Rohr , J., </w:t>
            </w:r>
            <w:r w:rsidR="007974E1">
              <w:rPr>
                <w:bCs/>
                <w:i/>
                <w:sz w:val="20"/>
                <w:szCs w:val="20"/>
              </w:rPr>
              <w:t>Angew. Chem</w:t>
            </w:r>
            <w:r w:rsidR="00EF5504">
              <w:rPr>
                <w:bCs/>
                <w:i/>
                <w:sz w:val="20"/>
                <w:szCs w:val="20"/>
              </w:rPr>
              <w:t xml:space="preserve"> Int. Ed.</w:t>
            </w:r>
            <w:r w:rsidRPr="00FE1F97">
              <w:rPr>
                <w:bCs/>
                <w:i/>
                <w:sz w:val="20"/>
                <w:szCs w:val="20"/>
              </w:rPr>
              <w:t xml:space="preserve"> </w:t>
            </w:r>
            <w:r w:rsidRPr="00FE1F97">
              <w:rPr>
                <w:b/>
                <w:bCs/>
                <w:sz w:val="20"/>
                <w:szCs w:val="20"/>
              </w:rPr>
              <w:t>2012</w:t>
            </w:r>
            <w:r w:rsidRPr="00FE1F97">
              <w:rPr>
                <w:bCs/>
                <w:sz w:val="20"/>
                <w:szCs w:val="20"/>
              </w:rPr>
              <w:t xml:space="preserve">, </w:t>
            </w:r>
            <w:r w:rsidR="00EF5504">
              <w:rPr>
                <w:bCs/>
                <w:i/>
                <w:sz w:val="20"/>
                <w:szCs w:val="20"/>
              </w:rPr>
              <w:t>51</w:t>
            </w:r>
            <w:r w:rsidRPr="00FE1F97">
              <w:rPr>
                <w:bCs/>
                <w:sz w:val="20"/>
                <w:szCs w:val="20"/>
              </w:rPr>
              <w:t xml:space="preserve">, </w:t>
            </w:r>
            <w:r w:rsidR="00195E17">
              <w:rPr>
                <w:bCs/>
                <w:sz w:val="20"/>
                <w:szCs w:val="20"/>
              </w:rPr>
              <w:t>10638-10642</w:t>
            </w:r>
            <w:r>
              <w:rPr>
                <w:bCs/>
                <w:sz w:val="20"/>
                <w:szCs w:val="20"/>
              </w:rPr>
              <w:t xml:space="preserve">; </w:t>
            </w:r>
            <w:r w:rsidR="007974E1">
              <w:rPr>
                <w:bCs/>
                <w:sz w:val="20"/>
                <w:szCs w:val="20"/>
              </w:rPr>
              <w:t xml:space="preserve">c) </w:t>
            </w:r>
            <w:r w:rsidRPr="00FE1F97">
              <w:rPr>
                <w:bCs/>
                <w:sz w:val="20"/>
                <w:szCs w:val="20"/>
              </w:rPr>
              <w:t xml:space="preserve">Kharel, </w:t>
            </w:r>
            <w:r w:rsidR="00195E17">
              <w:rPr>
                <w:bCs/>
                <w:sz w:val="20"/>
                <w:szCs w:val="20"/>
              </w:rPr>
              <w:t xml:space="preserve">M. K., Rohr, J., </w:t>
            </w:r>
            <w:r w:rsidRPr="00FE1F97">
              <w:rPr>
                <w:bCs/>
                <w:i/>
                <w:sz w:val="20"/>
                <w:szCs w:val="20"/>
              </w:rPr>
              <w:t xml:space="preserve">Curr. Opin. Chem. Biol. </w:t>
            </w:r>
            <w:r w:rsidRPr="00FE1F97">
              <w:rPr>
                <w:b/>
                <w:bCs/>
                <w:sz w:val="20"/>
                <w:szCs w:val="20"/>
              </w:rPr>
              <w:t>2012</w:t>
            </w:r>
            <w:r w:rsidRPr="00FE1F97">
              <w:rPr>
                <w:bCs/>
                <w:sz w:val="20"/>
                <w:szCs w:val="20"/>
              </w:rPr>
              <w:t xml:space="preserve">, </w:t>
            </w:r>
            <w:r w:rsidRPr="00FE1F97">
              <w:rPr>
                <w:bCs/>
                <w:i/>
                <w:sz w:val="20"/>
                <w:szCs w:val="20"/>
              </w:rPr>
              <w:t>16</w:t>
            </w:r>
            <w:r w:rsidRPr="00FE1F97">
              <w:rPr>
                <w:bCs/>
                <w:sz w:val="20"/>
                <w:szCs w:val="20"/>
              </w:rPr>
              <w:t>, 150-161</w:t>
            </w:r>
            <w:r w:rsidR="00EF5504">
              <w:rPr>
                <w:bCs/>
                <w:sz w:val="20"/>
                <w:szCs w:val="20"/>
              </w:rPr>
              <w:t xml:space="preserve">; </w:t>
            </w:r>
            <w:r w:rsidR="00195E17">
              <w:rPr>
                <w:bCs/>
                <w:sz w:val="20"/>
                <w:szCs w:val="20"/>
              </w:rPr>
              <w:t xml:space="preserve">d) </w:t>
            </w:r>
            <w:r w:rsidR="00EF5504">
              <w:rPr>
                <w:bCs/>
                <w:sz w:val="20"/>
                <w:szCs w:val="20"/>
              </w:rPr>
              <w:t xml:space="preserve">Bosserman, </w:t>
            </w:r>
            <w:r w:rsidR="00195E17">
              <w:rPr>
                <w:bCs/>
                <w:sz w:val="20"/>
                <w:szCs w:val="20"/>
              </w:rPr>
              <w:t xml:space="preserve">M.A., Downey, T., Noinaj, N., Buchanan, S.K., Rohr, J., </w:t>
            </w:r>
            <w:r w:rsidR="00195E17">
              <w:rPr>
                <w:bCs/>
                <w:i/>
                <w:sz w:val="20"/>
                <w:szCs w:val="20"/>
              </w:rPr>
              <w:t xml:space="preserve">ACS Chem. Biol. </w:t>
            </w:r>
            <w:r w:rsidR="00195E17" w:rsidRPr="00195E17">
              <w:rPr>
                <w:b/>
                <w:bCs/>
                <w:sz w:val="20"/>
                <w:szCs w:val="20"/>
              </w:rPr>
              <w:t>2013</w:t>
            </w:r>
            <w:r w:rsidR="00195E17">
              <w:rPr>
                <w:bCs/>
                <w:sz w:val="20"/>
                <w:szCs w:val="20"/>
              </w:rPr>
              <w:t xml:space="preserve">, </w:t>
            </w:r>
            <w:r w:rsidR="00195E17">
              <w:rPr>
                <w:bCs/>
                <w:i/>
                <w:sz w:val="20"/>
                <w:szCs w:val="20"/>
              </w:rPr>
              <w:t>8</w:t>
            </w:r>
            <w:r w:rsidR="00195E17">
              <w:rPr>
                <w:bCs/>
                <w:sz w:val="20"/>
                <w:szCs w:val="20"/>
              </w:rPr>
              <w:t>, 2466-2477; e) Scott, D., Chen, J</w:t>
            </w:r>
            <w:r w:rsidR="00E02679">
              <w:rPr>
                <w:bCs/>
                <w:sz w:val="20"/>
                <w:szCs w:val="20"/>
              </w:rPr>
              <w:t xml:space="preserve">.-M., Bae, Y., Rohr, J., </w:t>
            </w:r>
            <w:r w:rsidR="00E02679" w:rsidRPr="00E02679">
              <w:rPr>
                <w:bCs/>
                <w:i/>
                <w:sz w:val="20"/>
                <w:szCs w:val="20"/>
              </w:rPr>
              <w:t>Chem. Biol. Drug Des</w:t>
            </w:r>
            <w:r w:rsidR="00E02679">
              <w:rPr>
                <w:bCs/>
                <w:sz w:val="20"/>
                <w:szCs w:val="20"/>
              </w:rPr>
              <w:t xml:space="preserve">. </w:t>
            </w:r>
            <w:r w:rsidR="00E02679" w:rsidRPr="00E02679">
              <w:rPr>
                <w:b/>
                <w:bCs/>
                <w:sz w:val="20"/>
                <w:szCs w:val="20"/>
              </w:rPr>
              <w:t>2013</w:t>
            </w:r>
            <w:r w:rsidR="00E02679">
              <w:rPr>
                <w:bCs/>
                <w:sz w:val="20"/>
                <w:szCs w:val="20"/>
              </w:rPr>
              <w:t xml:space="preserve">, </w:t>
            </w:r>
            <w:r w:rsidR="00E02679" w:rsidRPr="00E02679">
              <w:rPr>
                <w:bCs/>
                <w:i/>
                <w:sz w:val="20"/>
                <w:szCs w:val="20"/>
              </w:rPr>
              <w:t>81</w:t>
            </w:r>
            <w:r w:rsidR="00E02679">
              <w:rPr>
                <w:bCs/>
                <w:sz w:val="20"/>
                <w:szCs w:val="20"/>
              </w:rPr>
              <w:t>, 615-624.</w:t>
            </w:r>
          </w:p>
        </w:tc>
      </w:tr>
      <w:tr w:rsidR="000110FD" w:rsidRPr="00892059" w14:paraId="69EF8994" w14:textId="77777777" w:rsidTr="005D6CEC">
        <w:trPr>
          <w:trHeight w:hRule="exact" w:val="3240"/>
        </w:trPr>
        <w:tc>
          <w:tcPr>
            <w:tcW w:w="2628" w:type="dxa"/>
            <w:tcBorders>
              <w:right w:val="nil"/>
            </w:tcBorders>
          </w:tcPr>
          <w:p w14:paraId="55FE6AB8" w14:textId="77777777" w:rsidR="000110FD" w:rsidRPr="00892059" w:rsidRDefault="000110FD" w:rsidP="005D6CEC">
            <w:pPr>
              <w:spacing w:before="120" w:after="120"/>
              <w:jc w:val="both"/>
            </w:pPr>
            <w:r>
              <w:rPr>
                <w:noProof/>
                <w:lang w:eastAsia="zh-CN"/>
              </w:rPr>
              <w:drawing>
                <wp:inline distT="0" distB="0" distL="0" distR="0" wp14:anchorId="2CF05FB1" wp14:editId="1C93CD7D">
                  <wp:extent cx="1638300" cy="2009775"/>
                  <wp:effectExtent l="0" t="0" r="0" b="9525"/>
                  <wp:docPr id="1" name="Picture 1" descr="gray Polo-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 Polo-BW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2009775"/>
                          </a:xfrm>
                          <a:prstGeom prst="rect">
                            <a:avLst/>
                          </a:prstGeom>
                          <a:noFill/>
                          <a:ln>
                            <a:noFill/>
                          </a:ln>
                        </pic:spPr>
                      </pic:pic>
                    </a:graphicData>
                  </a:graphic>
                </wp:inline>
              </w:drawing>
            </w:r>
          </w:p>
        </w:tc>
        <w:tc>
          <w:tcPr>
            <w:tcW w:w="6948" w:type="dxa"/>
            <w:tcBorders>
              <w:left w:val="nil"/>
            </w:tcBorders>
          </w:tcPr>
          <w:p w14:paraId="1C50FC66" w14:textId="7A38D540" w:rsidR="000110FD" w:rsidRPr="00892059" w:rsidRDefault="000110FD" w:rsidP="007974E1">
            <w:pPr>
              <w:spacing w:before="120" w:after="120"/>
              <w:jc w:val="both"/>
              <w:rPr>
                <w:sz w:val="20"/>
                <w:szCs w:val="20"/>
              </w:rPr>
            </w:pPr>
            <w:r w:rsidRPr="003C585E">
              <w:rPr>
                <w:rFonts w:eastAsia="ヒラギノ明朝 Pro W6"/>
                <w:sz w:val="20"/>
              </w:rPr>
              <w:t xml:space="preserve">Jürgen Rohr </w:t>
            </w:r>
            <w:r w:rsidR="007974E1">
              <w:rPr>
                <w:rFonts w:eastAsia="ヒラギノ明朝 Pro W6"/>
                <w:sz w:val="20"/>
              </w:rPr>
              <w:t xml:space="preserve">received </w:t>
            </w:r>
            <w:r w:rsidR="006A5C3A">
              <w:rPr>
                <w:rFonts w:ascii="宋体" w:eastAsia="宋体" w:hAnsi="宋体" w:hint="eastAsia"/>
                <w:sz w:val="20"/>
                <w:lang w:eastAsia="zh-CN"/>
              </w:rPr>
              <w:t>h</w:t>
            </w:r>
            <w:r w:rsidR="007974E1">
              <w:rPr>
                <w:rFonts w:eastAsia="ヒラギノ明朝 Pro W6"/>
                <w:sz w:val="20"/>
              </w:rPr>
              <w:t xml:space="preserve">is education at </w:t>
            </w:r>
            <w:r w:rsidRPr="003C585E">
              <w:rPr>
                <w:rFonts w:eastAsia="ヒラギノ明朝 Pro W6"/>
                <w:sz w:val="20"/>
              </w:rPr>
              <w:t>the University of Göttingen, Germany</w:t>
            </w:r>
            <w:r w:rsidR="007974E1">
              <w:rPr>
                <w:rFonts w:eastAsia="ヒラギノ明朝 Pro W6"/>
                <w:sz w:val="20"/>
              </w:rPr>
              <w:t>,</w:t>
            </w:r>
            <w:r w:rsidRPr="003C585E">
              <w:rPr>
                <w:rFonts w:eastAsia="ヒラギノ明朝 Pro W6"/>
                <w:sz w:val="20"/>
              </w:rPr>
              <w:t xml:space="preserve"> </w:t>
            </w:r>
            <w:r w:rsidR="007974E1">
              <w:rPr>
                <w:rFonts w:eastAsia="ヒラギノ明朝 Pro W6"/>
                <w:sz w:val="20"/>
              </w:rPr>
              <w:t xml:space="preserve">and graduated </w:t>
            </w:r>
            <w:r w:rsidRPr="003C585E">
              <w:rPr>
                <w:rFonts w:eastAsia="ヒラギノ明朝 Pro W6"/>
                <w:sz w:val="20"/>
              </w:rPr>
              <w:t>with a PhD in Organic Chemistry (major) and Microbiology (minor). He was post-doc in Prof. Heinz Floss’ laboratory at the Department of Chemistry of the Ohio-State-University, Columbus, Ohio, USA</w:t>
            </w:r>
            <w:r w:rsidR="007974E1">
              <w:rPr>
                <w:rFonts w:eastAsia="ヒラギノ明朝 Pro W6"/>
                <w:sz w:val="20"/>
              </w:rPr>
              <w:t xml:space="preserve">. He </w:t>
            </w:r>
            <w:r w:rsidRPr="003C585E">
              <w:rPr>
                <w:rFonts w:eastAsia="ヒラギノ明朝 Pro W6"/>
                <w:sz w:val="20"/>
              </w:rPr>
              <w:t>took his current position as Full Professor at the College of Pharmacy of the University of Kentucky in 2002, and is the Director of the Division of Drug Discovery</w:t>
            </w:r>
            <w:r w:rsidR="007974E1">
              <w:rPr>
                <w:rFonts w:eastAsia="ヒラギノ明朝 Pro W6"/>
                <w:sz w:val="20"/>
              </w:rPr>
              <w:t xml:space="preserve"> since 2007</w:t>
            </w:r>
            <w:r w:rsidRPr="003C585E">
              <w:rPr>
                <w:rFonts w:eastAsia="ヒラギノ明朝 Pro W6"/>
                <w:sz w:val="20"/>
              </w:rPr>
              <w:t xml:space="preserve">. Before joining University of Kentucky, Dr. Rohr was Assistant Professor at the Department of Chemistry </w:t>
            </w:r>
            <w:r w:rsidR="007974E1">
              <w:rPr>
                <w:rFonts w:eastAsia="ヒラギノ明朝 Pro W6"/>
                <w:sz w:val="20"/>
              </w:rPr>
              <w:t xml:space="preserve">and Biochemistry </w:t>
            </w:r>
            <w:bookmarkStart w:id="0" w:name="_GoBack"/>
            <w:bookmarkEnd w:id="0"/>
            <w:r w:rsidRPr="003C585E">
              <w:rPr>
                <w:rFonts w:eastAsia="ヒラギノ明朝 Pro W6"/>
                <w:sz w:val="20"/>
              </w:rPr>
              <w:t>of the University of Göttingen, Germany, and Associate Professor at the Department of Pharmaceutical Sciences of the Medical University of South Carolina, Charleston, SC, USA.  His research interests span isolation and structure elucidation of natural products, biosynthetic studies of microbial natural products, combinatorial biosynthesis</w:t>
            </w:r>
            <w:r w:rsidR="007974E1">
              <w:rPr>
                <w:rFonts w:eastAsia="ヒラギノ明朝 Pro W6"/>
                <w:sz w:val="20"/>
              </w:rPr>
              <w:t>,</w:t>
            </w:r>
            <w:r w:rsidRPr="003C585E">
              <w:rPr>
                <w:rFonts w:eastAsia="ヒラギノ明朝 Pro W6"/>
                <w:sz w:val="20"/>
              </w:rPr>
              <w:t xml:space="preserve"> enzymology</w:t>
            </w:r>
            <w:r w:rsidR="007974E1">
              <w:rPr>
                <w:rFonts w:eastAsia="ヒラギノ明朝 Pro W6"/>
                <w:sz w:val="20"/>
              </w:rPr>
              <w:t xml:space="preserve"> and chemo-enzymatic derivatization, with focus on polyketide anticancer drugs</w:t>
            </w:r>
            <w:r w:rsidRPr="003C585E">
              <w:rPr>
                <w:rFonts w:eastAsia="ヒラギノ明朝 Pro W6"/>
                <w:sz w:val="20"/>
              </w:rPr>
              <w:t>.</w:t>
            </w:r>
          </w:p>
        </w:tc>
      </w:tr>
    </w:tbl>
    <w:p w14:paraId="257DD945" w14:textId="77777777" w:rsidR="006913E6" w:rsidRDefault="006913E6"/>
    <w:sectPr w:rsidR="006913E6" w:rsidSect="000110FD">
      <w:pgSz w:w="12240" w:h="15840"/>
      <w:pgMar w:top="1138" w:right="1008" w:bottom="12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1078F" w14:textId="77777777" w:rsidR="00363360" w:rsidRDefault="00363360" w:rsidP="006A5C3A">
      <w:r>
        <w:separator/>
      </w:r>
    </w:p>
  </w:endnote>
  <w:endnote w:type="continuationSeparator" w:id="0">
    <w:p w14:paraId="52100E1E" w14:textId="77777777" w:rsidR="00363360" w:rsidRDefault="00363360" w:rsidP="006A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明朝 Pro W6">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B896E" w14:textId="77777777" w:rsidR="00363360" w:rsidRDefault="00363360" w:rsidP="006A5C3A">
      <w:r>
        <w:separator/>
      </w:r>
    </w:p>
  </w:footnote>
  <w:footnote w:type="continuationSeparator" w:id="0">
    <w:p w14:paraId="50F527A7" w14:textId="77777777" w:rsidR="00363360" w:rsidRDefault="00363360" w:rsidP="006A5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FD"/>
    <w:rsid w:val="000110FD"/>
    <w:rsid w:val="00195E17"/>
    <w:rsid w:val="00363360"/>
    <w:rsid w:val="005D6CEC"/>
    <w:rsid w:val="006913E6"/>
    <w:rsid w:val="006A5C3A"/>
    <w:rsid w:val="00722526"/>
    <w:rsid w:val="007974E1"/>
    <w:rsid w:val="00B04781"/>
    <w:rsid w:val="00E02679"/>
    <w:rsid w:val="00EF5504"/>
    <w:rsid w:val="00F61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01EDBD"/>
  <w15:docId w15:val="{20418EB9-15D4-4CD2-8CC8-F84B242D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0FD"/>
    <w:pPr>
      <w:spacing w:after="0" w:line="240" w:lineRule="auto"/>
    </w:pPr>
    <w:rPr>
      <w:rFonts w:ascii="Times New Roman" w:eastAsia="MS Mincho"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110FD"/>
    <w:pPr>
      <w:widowControl w:val="0"/>
      <w:jc w:val="both"/>
    </w:pPr>
    <w:rPr>
      <w:kern w:val="2"/>
      <w:lang w:eastAsia="ja-JP"/>
    </w:rPr>
  </w:style>
  <w:style w:type="character" w:customStyle="1" w:styleId="Char">
    <w:name w:val="正文文本 Char"/>
    <w:basedOn w:val="a0"/>
    <w:link w:val="a3"/>
    <w:rsid w:val="000110FD"/>
    <w:rPr>
      <w:rFonts w:ascii="Times New Roman" w:eastAsia="MS Mincho" w:hAnsi="Times New Roman" w:cs="Times New Roman"/>
      <w:kern w:val="2"/>
      <w:sz w:val="24"/>
      <w:szCs w:val="24"/>
      <w:lang w:eastAsia="ja-JP"/>
    </w:rPr>
  </w:style>
  <w:style w:type="paragraph" w:styleId="a4">
    <w:name w:val="Balloon Text"/>
    <w:basedOn w:val="a"/>
    <w:link w:val="Char0"/>
    <w:uiPriority w:val="99"/>
    <w:semiHidden/>
    <w:unhideWhenUsed/>
    <w:rsid w:val="000110FD"/>
    <w:rPr>
      <w:rFonts w:ascii="Tahoma" w:hAnsi="Tahoma" w:cs="Tahoma"/>
      <w:sz w:val="16"/>
      <w:szCs w:val="16"/>
    </w:rPr>
  </w:style>
  <w:style w:type="character" w:customStyle="1" w:styleId="Char0">
    <w:name w:val="批注框文本 Char"/>
    <w:basedOn w:val="a0"/>
    <w:link w:val="a4"/>
    <w:uiPriority w:val="99"/>
    <w:semiHidden/>
    <w:rsid w:val="000110FD"/>
    <w:rPr>
      <w:rFonts w:ascii="Tahoma" w:eastAsia="MS Mincho" w:hAnsi="Tahoma" w:cs="Tahoma"/>
      <w:sz w:val="16"/>
      <w:szCs w:val="16"/>
    </w:rPr>
  </w:style>
  <w:style w:type="paragraph" w:styleId="a5">
    <w:name w:val="header"/>
    <w:basedOn w:val="a"/>
    <w:link w:val="Char1"/>
    <w:uiPriority w:val="99"/>
    <w:unhideWhenUsed/>
    <w:rsid w:val="006A5C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A5C3A"/>
    <w:rPr>
      <w:rFonts w:ascii="Times New Roman" w:eastAsia="MS Mincho" w:hAnsi="Times New Roman" w:cs="Times New Roman"/>
      <w:sz w:val="18"/>
      <w:szCs w:val="18"/>
    </w:rPr>
  </w:style>
  <w:style w:type="paragraph" w:styleId="a6">
    <w:name w:val="footer"/>
    <w:basedOn w:val="a"/>
    <w:link w:val="Char2"/>
    <w:uiPriority w:val="99"/>
    <w:unhideWhenUsed/>
    <w:rsid w:val="006A5C3A"/>
    <w:pPr>
      <w:tabs>
        <w:tab w:val="center" w:pos="4153"/>
        <w:tab w:val="right" w:pos="8306"/>
      </w:tabs>
      <w:snapToGrid w:val="0"/>
    </w:pPr>
    <w:rPr>
      <w:sz w:val="18"/>
      <w:szCs w:val="18"/>
    </w:rPr>
  </w:style>
  <w:style w:type="character" w:customStyle="1" w:styleId="Char2">
    <w:name w:val="页脚 Char"/>
    <w:basedOn w:val="a0"/>
    <w:link w:val="a6"/>
    <w:uiPriority w:val="99"/>
    <w:rsid w:val="006A5C3A"/>
    <w:rPr>
      <w:rFonts w:ascii="Times New Roman" w:eastAsia="MS Mincho"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Rohr, Jurgen</dc:creator>
  <cp:lastModifiedBy>liutao</cp:lastModifiedBy>
  <cp:revision>3</cp:revision>
  <dcterms:created xsi:type="dcterms:W3CDTF">2014-09-30T17:37:00Z</dcterms:created>
  <dcterms:modified xsi:type="dcterms:W3CDTF">2014-10-12T06:21:00Z</dcterms:modified>
</cp:coreProperties>
</file>