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B6" w:rsidRPr="0011507D" w:rsidRDefault="00ED63B6" w:rsidP="00ED63B6">
      <w:pPr>
        <w:widowControl/>
        <w:spacing w:line="700" w:lineRule="exact"/>
        <w:rPr>
          <w:rFonts w:ascii="Times New Roman" w:eastAsia="黑体" w:hAnsi="Times New Roman" w:cstheme="majorBidi"/>
          <w:b/>
          <w:bCs/>
          <w:color w:val="000000" w:themeColor="text1"/>
          <w:sz w:val="28"/>
          <w:szCs w:val="28"/>
        </w:rPr>
      </w:pP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附件</w:t>
      </w:r>
      <w:r w:rsidRPr="0011507D">
        <w:rPr>
          <w:rFonts w:ascii="Times New Roman" w:eastAsia="黑体" w:hAnsi="Times New Roman" w:cstheme="majorBidi" w:hint="eastAsia"/>
          <w:b/>
          <w:bCs/>
          <w:color w:val="000000" w:themeColor="text1"/>
          <w:sz w:val="28"/>
          <w:szCs w:val="28"/>
        </w:rPr>
        <w:t>3</w:t>
      </w:r>
    </w:p>
    <w:p w:rsidR="00ED63B6" w:rsidRPr="0011507D" w:rsidRDefault="00ED63B6" w:rsidP="00ED63B6">
      <w:pPr>
        <w:widowControl/>
        <w:spacing w:after="240" w:line="560" w:lineRule="exact"/>
        <w:jc w:val="center"/>
        <w:outlineLvl w:val="0"/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</w:pPr>
      <w:bookmarkStart w:id="0" w:name="_Toc451682278"/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中国科学院先进基层党组织</w:t>
      </w:r>
      <w:r w:rsidRPr="0011507D">
        <w:rPr>
          <w:rFonts w:ascii="Times New Roman" w:eastAsia="华文中宋" w:hAnsi="Times New Roman" w:cstheme="majorBidi" w:hint="eastAsia"/>
          <w:b/>
          <w:bCs/>
          <w:color w:val="000000" w:themeColor="text1"/>
          <w:sz w:val="36"/>
          <w:szCs w:val="32"/>
        </w:rPr>
        <w:t>获奖</w:t>
      </w:r>
      <w:r w:rsidRPr="0011507D">
        <w:rPr>
          <w:rFonts w:ascii="Times New Roman" w:eastAsia="华文中宋" w:hAnsi="Times New Roman" w:cstheme="majorBidi"/>
          <w:b/>
          <w:bCs/>
          <w:color w:val="000000" w:themeColor="text1"/>
          <w:sz w:val="36"/>
          <w:szCs w:val="32"/>
        </w:rPr>
        <w:t>名单</w:t>
      </w:r>
      <w:bookmarkEnd w:id="0"/>
    </w:p>
    <w:tbl>
      <w:tblPr>
        <w:tblW w:w="9115" w:type="dxa"/>
        <w:jc w:val="center"/>
        <w:tblLook w:val="04A0" w:firstRow="1" w:lastRow="0" w:firstColumn="1" w:lastColumn="0" w:noHBand="0" w:noVBand="1"/>
      </w:tblPr>
      <w:tblGrid>
        <w:gridCol w:w="704"/>
        <w:gridCol w:w="3029"/>
        <w:gridCol w:w="5382"/>
      </w:tblGrid>
      <w:tr w:rsidR="00ED63B6" w:rsidRPr="0011507D" w:rsidTr="00CC718D">
        <w:trPr>
          <w:trHeight w:val="68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b/>
                <w:color w:val="000000" w:themeColor="text1"/>
                <w:sz w:val="24"/>
                <w:szCs w:val="24"/>
              </w:rPr>
              <w:t>基层党组织名称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地理科学与资源研究所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野外台站联合党支部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微生物研究所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微生物生理与代谢工程重点实验室党支部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动物研究所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FB57A9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动物进化与系统学院重点实验室暨国家动物博物馆党总支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信息工程研究所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第三研究室党总支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051067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051067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院部机关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051067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051067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人事局党支部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声学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声场声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信息国家重点实验室党支部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化学研究所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分子纳米结构与纳米技术党支部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力学研究所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非线性力学国家重点实验室党支部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过程工程研究所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绿色过程工程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党总支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国家空间科学中心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嫦娥三号任务有效载荷发射场试验队党支部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自动化研究所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精密感知与控制研究中心党支部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清洁能源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重点实验室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行政管理局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中科院幼儿园党总支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半导体研究所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超晶格党支部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大气物理研究所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FB57A9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大气科学和地球流体力学数值模拟国家重点实验室支部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微电子研究所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硅器件与集成技术研发中心党支部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山西煤炭化学研究所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机关党支部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E83C21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国有资产经营有限责任公司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国科控股党支部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E83C21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中国科技出版传媒股份有限公司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专业图书党支部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人才交流开发中心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人才</w:t>
            </w: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交流开发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中心党总支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沈阳科学仪器股份有限公司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真空应用党支部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E83C21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36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36"/>
                <w:sz w:val="24"/>
                <w:szCs w:val="24"/>
              </w:rPr>
              <w:t>沈阳新松机器人自动化股份有限公司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E83C21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30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沈阳新松机器人自动化股份有限公司党总支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金属研究所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高温合金研究部党支部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长春光学精密机械与物理研究所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空间光学研究一部党总支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长春应用化学研究所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高分子物理与化学国家重点实验室党支部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上海微系统与信息技术研究所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超导实验室党支部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7F1219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上海光学精密机械研究所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强场激光物理国家重点实验室党支部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上海硅酸盐研究所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信息功能材料与器件研究中心党支部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上海有机化学研究所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7F1219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20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金属有机化学国家重点实验室党支部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上海应用物理研究所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核物理党支部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宁波材料技术与工程研究所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表面党支部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南京地质古生物研究所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E83C21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pacing w:val="-30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现代古生物学和地层学国家重点实验室党支部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苏州生物医学工程技术研究所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医学影像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-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医用声学联合党支部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测量与地球物理研究所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学科第二党支部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水生生物研究所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FB57A9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FB57A9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水生生物多样性与资源保护研究中心党支部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南海海洋研究所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373456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船队办党支部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华南植物园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科研第一党支部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亚热带农业生态研究所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环江、洞庭湖站党支部</w:t>
            </w:r>
          </w:p>
        </w:tc>
      </w:tr>
      <w:tr w:rsidR="00ED63B6" w:rsidRPr="00FB57A9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光电技术研究所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光电工程总体研究室党支部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重庆绿色智能技术研究院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智能制造技术研究所第二党支部</w:t>
            </w:r>
          </w:p>
        </w:tc>
      </w:tr>
      <w:tr w:rsidR="00ED63B6" w:rsidRPr="0011507D" w:rsidTr="00CC718D">
        <w:trPr>
          <w:trHeight w:val="5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E83C21">
              <w:rPr>
                <w:rFonts w:ascii="Times New Roman" w:eastAsia="仿宋_GB2312" w:hAnsi="Times New Roman" w:hint="eastAsia"/>
                <w:color w:val="000000" w:themeColor="text1"/>
                <w:spacing w:val="-20"/>
                <w:sz w:val="24"/>
                <w:szCs w:val="24"/>
              </w:rPr>
              <w:t>成都信息技术股份有限公司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办公自动化事业部党支部</w:t>
            </w:r>
          </w:p>
        </w:tc>
      </w:tr>
      <w:tr w:rsidR="00ED63B6" w:rsidRPr="0011507D" w:rsidTr="00CC718D">
        <w:trPr>
          <w:trHeight w:val="11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云南天文台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科研第二党支部</w:t>
            </w:r>
          </w:p>
        </w:tc>
      </w:tr>
      <w:tr w:rsidR="00ED63B6" w:rsidRPr="0011507D" w:rsidTr="00CC718D">
        <w:trPr>
          <w:trHeight w:val="99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西安光学精密机械研究所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系统工程部党支部</w:t>
            </w:r>
          </w:p>
        </w:tc>
      </w:tr>
      <w:tr w:rsidR="00ED63B6" w:rsidRPr="0011507D" w:rsidTr="00CC718D">
        <w:trPr>
          <w:trHeight w:val="7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兰州化学物理研究所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固体润滑国家重点实验室党支部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分析</w:t>
            </w:r>
            <w:proofErr w:type="gramStart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测试部</w:t>
            </w:r>
            <w:proofErr w:type="gramEnd"/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党支部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新疆理化技术研究所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第二党支部</w:t>
            </w:r>
          </w:p>
        </w:tc>
      </w:tr>
      <w:tr w:rsidR="00ED63B6" w:rsidRPr="0011507D" w:rsidTr="00CC718D">
        <w:trPr>
          <w:trHeight w:val="7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合肥物质科学研究院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安光所环境光学中心党支部</w:t>
            </w:r>
          </w:p>
        </w:tc>
      </w:tr>
      <w:tr w:rsidR="00ED63B6" w:rsidRPr="0011507D" w:rsidTr="00CC718D">
        <w:trPr>
          <w:trHeight w:val="8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中国科学技术</w:t>
            </w: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大学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信息科学技术学院党委</w:t>
            </w:r>
          </w:p>
        </w:tc>
      </w:tr>
      <w:tr w:rsidR="00ED63B6" w:rsidRPr="0011507D" w:rsidTr="00CC718D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化学与材料科学学院化学实验教学中心党支部</w:t>
            </w:r>
          </w:p>
        </w:tc>
      </w:tr>
      <w:tr w:rsidR="00ED63B6" w:rsidRPr="0011507D" w:rsidTr="00CC718D">
        <w:trPr>
          <w:trHeight w:val="7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3B6" w:rsidRPr="0011507D" w:rsidRDefault="00ED63B6" w:rsidP="00CC718D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 w:rsidRPr="0011507D">
              <w:rPr>
                <w:rFonts w:ascii="Times New Roman" w:eastAsia="仿宋_GB2312" w:hAnsi="Times New Roman" w:hint="eastAsia"/>
                <w:color w:val="000000" w:themeColor="text1"/>
                <w:sz w:val="24"/>
                <w:szCs w:val="24"/>
              </w:rPr>
              <w:t>后勤党总支饮食服务集团党支部</w:t>
            </w:r>
          </w:p>
        </w:tc>
      </w:tr>
    </w:tbl>
    <w:p w:rsidR="00ED63B6" w:rsidRPr="0011507D" w:rsidRDefault="00ED63B6" w:rsidP="00ED63B6">
      <w:pPr>
        <w:widowControl/>
        <w:spacing w:line="50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</w:rPr>
      </w:pPr>
    </w:p>
    <w:p w:rsidR="005F568A" w:rsidRPr="00ED63B6" w:rsidRDefault="005F568A">
      <w:bookmarkStart w:id="1" w:name="_GoBack"/>
      <w:bookmarkEnd w:id="1"/>
    </w:p>
    <w:sectPr w:rsidR="005F568A" w:rsidRPr="00ED6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964" w:rsidRDefault="00C61964" w:rsidP="00ED63B6">
      <w:r>
        <w:separator/>
      </w:r>
    </w:p>
  </w:endnote>
  <w:endnote w:type="continuationSeparator" w:id="0">
    <w:p w:rsidR="00C61964" w:rsidRDefault="00C61964" w:rsidP="00E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964" w:rsidRDefault="00C61964" w:rsidP="00ED63B6">
      <w:r>
        <w:separator/>
      </w:r>
    </w:p>
  </w:footnote>
  <w:footnote w:type="continuationSeparator" w:id="0">
    <w:p w:rsidR="00C61964" w:rsidRDefault="00C61964" w:rsidP="00ED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EB"/>
    <w:rsid w:val="005F568A"/>
    <w:rsid w:val="00B95FEB"/>
    <w:rsid w:val="00C61964"/>
    <w:rsid w:val="00E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6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6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2</cp:revision>
  <dcterms:created xsi:type="dcterms:W3CDTF">2016-07-05T07:56:00Z</dcterms:created>
  <dcterms:modified xsi:type="dcterms:W3CDTF">2016-07-05T07:56:00Z</dcterms:modified>
</cp:coreProperties>
</file>